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A7" w:rsidRPr="00C26CC5" w:rsidRDefault="001715A3" w:rsidP="008D36C4">
      <w:pPr>
        <w:rPr>
          <w:rFonts w:ascii="Century Gothic" w:hAnsi="Century Gothic"/>
          <w:color w:val="B01513"/>
          <w:sz w:val="36"/>
          <w:szCs w:val="40"/>
        </w:rPr>
      </w:pPr>
      <w:bookmarkStart w:id="0" w:name="_GoBack"/>
      <w:bookmarkEnd w:id="0"/>
      <w:r>
        <w:rPr>
          <w:rFonts w:ascii="Century Gothic" w:hAnsi="Century Gothic"/>
          <w:noProof/>
          <w:color w:val="B01513"/>
          <w:sz w:val="36"/>
          <w:szCs w:val="40"/>
        </w:rPr>
        <mc:AlternateContent>
          <mc:Choice Requires="wps">
            <w:drawing>
              <wp:anchor distT="45720" distB="45720" distL="114300" distR="114300" simplePos="0" relativeHeight="251695104" behindDoc="0" locked="0" layoutInCell="1" allowOverlap="1">
                <wp:simplePos x="0" y="0"/>
                <wp:positionH relativeFrom="column">
                  <wp:posOffset>5394960</wp:posOffset>
                </wp:positionH>
                <wp:positionV relativeFrom="paragraph">
                  <wp:posOffset>0</wp:posOffset>
                </wp:positionV>
                <wp:extent cx="1181100" cy="74612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46125"/>
                        </a:xfrm>
                        <a:prstGeom prst="rect">
                          <a:avLst/>
                        </a:prstGeom>
                        <a:solidFill>
                          <a:srgbClr val="FFFFFF"/>
                        </a:solidFill>
                        <a:ln w="9525">
                          <a:noFill/>
                          <a:miter lim="800000"/>
                          <a:headEnd/>
                          <a:tailEnd/>
                        </a:ln>
                      </wps:spPr>
                      <wps:txbx>
                        <w:txbxContent>
                          <w:p w:rsidR="001F630D" w:rsidRDefault="00263496">
                            <w:r w:rsidRPr="00263496">
                              <w:rPr>
                                <w:noProof/>
                              </w:rPr>
                              <w:drawing>
                                <wp:inline distT="0" distB="0" distL="0" distR="0">
                                  <wp:extent cx="872669" cy="540327"/>
                                  <wp:effectExtent l="19050" t="0" r="3631" b="0"/>
                                  <wp:docPr id="2" name="Picture 1" descr="http://intranet/logo/logos/color/DOH_RGB_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logos/color/DOH_RGB_200dpi.jpg"/>
                                          <pic:cNvPicPr>
                                            <a:picLocks noChangeAspect="1" noChangeArrowheads="1"/>
                                          </pic:cNvPicPr>
                                        </pic:nvPicPr>
                                        <pic:blipFill>
                                          <a:blip r:embed="rId7"/>
                                          <a:srcRect/>
                                          <a:stretch>
                                            <a:fillRect/>
                                          </a:stretch>
                                        </pic:blipFill>
                                        <pic:spPr bwMode="auto">
                                          <a:xfrm>
                                            <a:off x="0" y="0"/>
                                            <a:ext cx="879788" cy="544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8pt;margin-top:0;width:93pt;height:5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a/IA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" stroked="f">
                <v:textbox style="mso-fit-shape-to-text:t">
                  <w:txbxContent>
                    <w:p w:rsidR="001F630D" w:rsidRDefault="00263496">
                      <w:r w:rsidRPr="00263496">
                        <w:rPr>
                          <w:noProof/>
                        </w:rPr>
                        <w:drawing>
                          <wp:inline distT="0" distB="0" distL="0" distR="0">
                            <wp:extent cx="872669" cy="540327"/>
                            <wp:effectExtent l="19050" t="0" r="3631" b="0"/>
                            <wp:docPr id="2" name="Picture 1" descr="http://intranet/logo/logos/color/DOH_RGB_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logos/color/DOH_RGB_200dpi.jpg"/>
                                    <pic:cNvPicPr>
                                      <a:picLocks noChangeAspect="1" noChangeArrowheads="1"/>
                                    </pic:cNvPicPr>
                                  </pic:nvPicPr>
                                  <pic:blipFill>
                                    <a:blip r:embed="rId7"/>
                                    <a:srcRect/>
                                    <a:stretch>
                                      <a:fillRect/>
                                    </a:stretch>
                                  </pic:blipFill>
                                  <pic:spPr bwMode="auto">
                                    <a:xfrm>
                                      <a:off x="0" y="0"/>
                                      <a:ext cx="879788" cy="544735"/>
                                    </a:xfrm>
                                    <a:prstGeom prst="rect">
                                      <a:avLst/>
                                    </a:prstGeom>
                                    <a:noFill/>
                                    <a:ln w="9525">
                                      <a:noFill/>
                                      <a:miter lim="800000"/>
                                      <a:headEnd/>
                                      <a:tailEnd/>
                                    </a:ln>
                                  </pic:spPr>
                                </pic:pic>
                              </a:graphicData>
                            </a:graphic>
                          </wp:inline>
                        </w:drawing>
                      </w:r>
                    </w:p>
                  </w:txbxContent>
                </v:textbox>
                <w10:wrap type="square"/>
              </v:shape>
            </w:pict>
          </mc:Fallback>
        </mc:AlternateContent>
      </w:r>
      <w:r w:rsidR="00F57AA7" w:rsidRPr="00C26CC5">
        <w:rPr>
          <w:rFonts w:ascii="Century Gothic" w:hAnsi="Century Gothic"/>
          <w:color w:val="B01513"/>
          <w:sz w:val="36"/>
          <w:szCs w:val="40"/>
        </w:rPr>
        <w:t xml:space="preserve">New Mexico Prediabetes and Diabetes Facts </w:t>
      </w:r>
    </w:p>
    <w:p w:rsidR="00F57AA7" w:rsidRPr="00C26CC5" w:rsidRDefault="001715A3" w:rsidP="00C26CC5">
      <w:pPr>
        <w:pStyle w:val="Heading1"/>
        <w:rPr>
          <w:rFonts w:ascii="Century Gothic" w:hAnsi="Century Gothic"/>
          <w:color w:val="B01513"/>
        </w:rPr>
      </w:pPr>
      <w:r>
        <w:rPr>
          <w:rFonts w:ascii="Century Gothic" w:hAnsi="Century Gothic"/>
          <w:noProof/>
          <w:color w:val="B01513"/>
          <w:lang w:eastAsia="en-US"/>
        </w:rPr>
        <mc:AlternateContent>
          <mc:Choice Requires="wps">
            <w:drawing>
              <wp:anchor distT="4294967295" distB="4294967295" distL="114300" distR="114300" simplePos="0" relativeHeight="251677696" behindDoc="0" locked="0" layoutInCell="1" allowOverlap="1">
                <wp:simplePos x="0" y="0"/>
                <wp:positionH relativeFrom="margin">
                  <wp:align>left</wp:align>
                </wp:positionH>
                <wp:positionV relativeFrom="paragraph">
                  <wp:posOffset>26669</wp:posOffset>
                </wp:positionV>
                <wp:extent cx="52959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900" cy="0"/>
                        </a:xfrm>
                        <a:prstGeom prst="line">
                          <a:avLst/>
                        </a:prstGeom>
                        <a:ln>
                          <a:solidFill>
                            <a:srgbClr val="B015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54459" id="Straight Connector 28" o:spid="_x0000_s1026" style="position:absolute;z-index:2516776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1pt" to="4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" strokecolor="#b01513" strokeweight=".5pt">
                <v:stroke joinstyle="miter"/>
                <o:lock v:ext="edit" shapetype="f"/>
                <w10:wrap anchorx="margin"/>
              </v:line>
            </w:pict>
          </mc:Fallback>
        </mc:AlternateContent>
      </w:r>
      <w:r w:rsidR="00F57AA7" w:rsidRPr="00C26CC5">
        <w:rPr>
          <w:rFonts w:ascii="Century Gothic" w:hAnsi="Century Gothic"/>
          <w:color w:val="B01513"/>
        </w:rPr>
        <w:t>Definitions</w:t>
      </w:r>
    </w:p>
    <w:p w:rsidR="00F57AA7" w:rsidRPr="001B52E5" w:rsidRDefault="00F57AA7" w:rsidP="00DF3147">
      <w:pPr>
        <w:pStyle w:val="NoSpacing"/>
        <w:spacing w:line="300" w:lineRule="auto"/>
        <w:jc w:val="both"/>
        <w:rPr>
          <w:rFonts w:ascii="Century Gothic" w:hAnsi="Century Gothic"/>
          <w:sz w:val="21"/>
          <w:szCs w:val="21"/>
        </w:rPr>
      </w:pPr>
      <w:r w:rsidRPr="001B52E5">
        <w:rPr>
          <w:rFonts w:ascii="Century Gothic" w:hAnsi="Century Gothic"/>
          <w:sz w:val="21"/>
          <w:szCs w:val="21"/>
        </w:rPr>
        <w:t>Prediabetes occurs when a person’s blood sugar is higher than normal but not as high as it would be with diabetes, and there may be no external symptoms of disease.</w:t>
      </w:r>
    </w:p>
    <w:p w:rsidR="00F57AA7" w:rsidRPr="001B52E5" w:rsidRDefault="00F57AA7" w:rsidP="00DF3147">
      <w:pPr>
        <w:pStyle w:val="NoSpacing"/>
        <w:spacing w:line="300" w:lineRule="auto"/>
        <w:jc w:val="both"/>
        <w:rPr>
          <w:rFonts w:ascii="Century Gothic" w:hAnsi="Century Gothic"/>
          <w:sz w:val="21"/>
          <w:szCs w:val="21"/>
        </w:rPr>
      </w:pPr>
      <w:r w:rsidRPr="001B52E5">
        <w:rPr>
          <w:rFonts w:ascii="Century Gothic" w:hAnsi="Century Gothic"/>
          <w:sz w:val="21"/>
          <w:szCs w:val="21"/>
        </w:rPr>
        <w:t>Diabetes is a group of diseases marked by high levels of blood sugar due to defects in insulin production, insulin action, or both.</w:t>
      </w:r>
    </w:p>
    <w:p w:rsidR="00F57AA7" w:rsidRPr="001B52E5" w:rsidRDefault="00F57AA7" w:rsidP="00DF3147">
      <w:pPr>
        <w:pStyle w:val="NoSpacing"/>
        <w:spacing w:line="300" w:lineRule="auto"/>
        <w:jc w:val="both"/>
        <w:rPr>
          <w:rFonts w:ascii="Century Gothic" w:hAnsi="Century Gothic"/>
          <w:sz w:val="21"/>
          <w:szCs w:val="21"/>
        </w:rPr>
      </w:pPr>
      <w:r w:rsidRPr="001B52E5">
        <w:rPr>
          <w:rFonts w:ascii="Century Gothic" w:hAnsi="Century Gothic"/>
          <w:sz w:val="21"/>
          <w:szCs w:val="21"/>
        </w:rPr>
        <w:t>Prevalence is the percentage of the population that has a certain existing condition.</w:t>
      </w:r>
    </w:p>
    <w:p w:rsidR="00F57AA7" w:rsidRPr="001B52E5" w:rsidRDefault="00F57AA7" w:rsidP="00F57AA7">
      <w:pPr>
        <w:pStyle w:val="Heading1"/>
        <w:rPr>
          <w:rFonts w:ascii="Century Gothic" w:hAnsi="Century Gothic"/>
          <w:color w:val="B01513"/>
        </w:rPr>
      </w:pPr>
      <w:r w:rsidRPr="001B52E5">
        <w:rPr>
          <w:rFonts w:ascii="Century Gothic" w:hAnsi="Century Gothic"/>
          <w:color w:val="B01513"/>
        </w:rPr>
        <w:t>Prediabetes</w:t>
      </w:r>
    </w:p>
    <w:p w:rsidR="00F57AA7" w:rsidRPr="001B52E5" w:rsidRDefault="00F57AA7" w:rsidP="00DF3147">
      <w:pPr>
        <w:pStyle w:val="NoSpacing"/>
        <w:spacing w:line="300" w:lineRule="auto"/>
        <w:jc w:val="both"/>
        <w:rPr>
          <w:rFonts w:ascii="Century Gothic" w:hAnsi="Century Gothic"/>
          <w:sz w:val="21"/>
          <w:szCs w:val="21"/>
        </w:rPr>
      </w:pPr>
      <w:r w:rsidRPr="001B52E5">
        <w:rPr>
          <w:rFonts w:ascii="Century Gothic" w:hAnsi="Century Gothic"/>
          <w:sz w:val="21"/>
          <w:szCs w:val="21"/>
        </w:rPr>
        <w:t>Although prediabetes is a precursor to diabetes, evidence shows that some people with prediabetes can return their blood sugar to normal levels, preventing or delaying progression to diabetes. People with prediabetes also have an increased risk of developing heart disease and stroke. Data from the telephone-based New Mexico (NM) Behavioral Risk Factor Surveillance System (BRFSS) show that 7.8% or 122,500 of NM adults aged 18 and older had diagnosed prediabetes in 2012-2013.</w:t>
      </w:r>
    </w:p>
    <w:p w:rsidR="008D36C4" w:rsidRDefault="008D36C4" w:rsidP="008D36C4">
      <w:pPr>
        <w:pStyle w:val="NoSpacing"/>
        <w:jc w:val="both"/>
        <w:rPr>
          <w:sz w:val="21"/>
          <w:szCs w:val="21"/>
        </w:rPr>
      </w:pPr>
    </w:p>
    <w:tbl>
      <w:tblPr>
        <w:tblW w:w="9360" w:type="dxa"/>
        <w:tblInd w:w="90" w:type="dxa"/>
        <w:tblLook w:val="04A0" w:firstRow="1" w:lastRow="0" w:firstColumn="1" w:lastColumn="0" w:noHBand="0" w:noVBand="1"/>
      </w:tblPr>
      <w:tblGrid>
        <w:gridCol w:w="9360"/>
      </w:tblGrid>
      <w:tr w:rsidR="002551F4" w:rsidRPr="002551F4" w:rsidTr="00A57A22">
        <w:trPr>
          <w:trHeight w:val="467"/>
        </w:trPr>
        <w:tc>
          <w:tcPr>
            <w:tcW w:w="9360" w:type="dxa"/>
            <w:tcBorders>
              <w:top w:val="single" w:sz="4" w:space="0" w:color="auto"/>
              <w:left w:val="nil"/>
              <w:bottom w:val="single" w:sz="4" w:space="0" w:color="auto"/>
            </w:tcBorders>
            <w:shd w:val="clear" w:color="auto" w:fill="auto"/>
            <w:noWrap/>
            <w:vAlign w:val="center"/>
            <w:hideMark/>
          </w:tcPr>
          <w:p w:rsidR="008D36C4" w:rsidRPr="002551F4" w:rsidRDefault="008D36C4" w:rsidP="008158E8">
            <w:pPr>
              <w:pStyle w:val="NoSpacing"/>
              <w:jc w:val="center"/>
              <w:rPr>
                <w:rFonts w:ascii="Century Gothic" w:hAnsi="Century Gothic"/>
                <w:b/>
                <w:sz w:val="21"/>
                <w:szCs w:val="21"/>
              </w:rPr>
            </w:pPr>
            <w:r w:rsidRPr="002551F4">
              <w:rPr>
                <w:rFonts w:ascii="Century Gothic" w:hAnsi="Century Gothic"/>
                <w:b/>
                <w:sz w:val="21"/>
                <w:szCs w:val="21"/>
              </w:rPr>
              <w:t>Table 1</w:t>
            </w:r>
            <w:r w:rsidR="001726FC" w:rsidRPr="002551F4">
              <w:rPr>
                <w:rFonts w:ascii="Century Gothic" w:hAnsi="Century Gothic"/>
                <w:b/>
                <w:sz w:val="21"/>
                <w:szCs w:val="21"/>
              </w:rPr>
              <w:t xml:space="preserve">: Estimated </w:t>
            </w:r>
            <w:r w:rsidRPr="002551F4">
              <w:rPr>
                <w:rFonts w:ascii="Century Gothic" w:hAnsi="Century Gothic"/>
                <w:b/>
                <w:sz w:val="21"/>
                <w:szCs w:val="21"/>
              </w:rPr>
              <w:t>Diagnosed Prediabetes Prevalence (%) 2012-2013, NM BRFSS</w:t>
            </w:r>
          </w:p>
          <w:p w:rsidR="008D36C4" w:rsidRPr="002551F4" w:rsidRDefault="008D36C4" w:rsidP="008158E8">
            <w:pPr>
              <w:pStyle w:val="NoSpacing"/>
              <w:jc w:val="center"/>
              <w:rPr>
                <w:rFonts w:ascii="Corbel" w:hAnsi="Corbel"/>
                <w:sz w:val="21"/>
                <w:szCs w:val="21"/>
              </w:rPr>
            </w:pPr>
            <w:r w:rsidRPr="002551F4">
              <w:rPr>
                <w:rFonts w:ascii="Century Gothic" w:hAnsi="Century Gothic"/>
                <w:i/>
                <w:sz w:val="16"/>
                <w:szCs w:val="21"/>
              </w:rPr>
              <w:t>Have</w:t>
            </w:r>
            <w:r w:rsidRPr="002551F4">
              <w:rPr>
                <w:rFonts w:ascii="Century Gothic" w:hAnsi="Century Gothic"/>
                <w:i/>
                <w:iCs/>
                <w:sz w:val="16"/>
                <w:szCs w:val="21"/>
              </w:rPr>
              <w:t xml:space="preserve"> you ever been told by a doctor or other health professional that you have prediabetes or borderline diabetes?</w:t>
            </w:r>
          </w:p>
        </w:tc>
      </w:tr>
    </w:tbl>
    <w:p w:rsidR="008D36C4" w:rsidRPr="00312358" w:rsidRDefault="008D36C4" w:rsidP="008D36C4">
      <w:pPr>
        <w:pStyle w:val="NoSpacing"/>
        <w:jc w:val="both"/>
        <w:rPr>
          <w:sz w:val="16"/>
          <w:szCs w:val="16"/>
        </w:rPr>
      </w:pPr>
    </w:p>
    <w:tbl>
      <w:tblPr>
        <w:tblStyle w:val="TableGrid"/>
        <w:tblW w:w="9540" w:type="dxa"/>
        <w:tblInd w:w="-5" w:type="dxa"/>
        <w:tblLook w:val="04A0" w:firstRow="1" w:lastRow="0" w:firstColumn="1" w:lastColumn="0" w:noHBand="0" w:noVBand="1"/>
      </w:tblPr>
      <w:tblGrid>
        <w:gridCol w:w="2160"/>
        <w:gridCol w:w="1530"/>
        <w:gridCol w:w="360"/>
        <w:gridCol w:w="4050"/>
        <w:gridCol w:w="1440"/>
      </w:tblGrid>
      <w:tr w:rsidR="008D36C4" w:rsidRPr="00CB5E91" w:rsidTr="00A57A22">
        <w:tc>
          <w:tcPr>
            <w:tcW w:w="2160" w:type="dxa"/>
            <w:vAlign w:val="center"/>
          </w:tcPr>
          <w:p w:rsidR="008D36C4" w:rsidRPr="00CB5E91" w:rsidRDefault="008D36C4" w:rsidP="008158E8">
            <w:pPr>
              <w:jc w:val="right"/>
              <w:rPr>
                <w:rFonts w:ascii="Calibri" w:hAnsi="Calibri"/>
                <w:sz w:val="22"/>
                <w:szCs w:val="22"/>
              </w:rPr>
            </w:pPr>
            <w:r w:rsidRPr="00CB5E91">
              <w:rPr>
                <w:rFonts w:ascii="Calibri" w:hAnsi="Calibri"/>
                <w:sz w:val="22"/>
                <w:szCs w:val="22"/>
              </w:rPr>
              <w:t xml:space="preserve"> </w:t>
            </w:r>
          </w:p>
        </w:tc>
        <w:tc>
          <w:tcPr>
            <w:tcW w:w="1530" w:type="dxa"/>
            <w:vAlign w:val="center"/>
          </w:tcPr>
          <w:p w:rsidR="008D36C4" w:rsidRPr="00CB5E91" w:rsidRDefault="008D36C4" w:rsidP="008158E8">
            <w:pPr>
              <w:jc w:val="right"/>
              <w:rPr>
                <w:rFonts w:ascii="Calibri" w:hAnsi="Calibri"/>
                <w:bCs/>
                <w:sz w:val="22"/>
                <w:szCs w:val="22"/>
              </w:rPr>
            </w:pPr>
            <w:r w:rsidRPr="00CB5E91">
              <w:rPr>
                <w:rFonts w:ascii="Calibri" w:hAnsi="Calibri"/>
                <w:bCs/>
                <w:sz w:val="22"/>
                <w:szCs w:val="22"/>
              </w:rPr>
              <w:t>Percent  of  Adults</w:t>
            </w:r>
          </w:p>
        </w:tc>
        <w:tc>
          <w:tcPr>
            <w:tcW w:w="360" w:type="dxa"/>
            <w:vMerge w:val="restart"/>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jc w:val="right"/>
              <w:rPr>
                <w:rFonts w:ascii="Calibri" w:hAnsi="Calibri"/>
                <w:sz w:val="22"/>
                <w:szCs w:val="22"/>
              </w:rPr>
            </w:pPr>
          </w:p>
        </w:tc>
        <w:tc>
          <w:tcPr>
            <w:tcW w:w="1440" w:type="dxa"/>
            <w:vAlign w:val="center"/>
          </w:tcPr>
          <w:p w:rsidR="008D36C4" w:rsidRPr="00CB5E91" w:rsidRDefault="008D36C4" w:rsidP="008158E8">
            <w:pPr>
              <w:jc w:val="right"/>
              <w:rPr>
                <w:rFonts w:ascii="Calibri" w:hAnsi="Calibri"/>
                <w:bCs/>
                <w:sz w:val="22"/>
                <w:szCs w:val="22"/>
              </w:rPr>
            </w:pPr>
            <w:r w:rsidRPr="00CB5E91">
              <w:rPr>
                <w:rFonts w:ascii="Calibri" w:hAnsi="Calibri"/>
                <w:bCs/>
                <w:sz w:val="22"/>
                <w:szCs w:val="22"/>
              </w:rPr>
              <w:t>Percent  of   Adults</w:t>
            </w:r>
          </w:p>
        </w:tc>
      </w:tr>
      <w:tr w:rsidR="008D36C4" w:rsidRPr="00CB5E91" w:rsidTr="00A57A22">
        <w:tc>
          <w:tcPr>
            <w:tcW w:w="2160" w:type="dxa"/>
            <w:vAlign w:val="center"/>
          </w:tcPr>
          <w:p w:rsidR="008D36C4" w:rsidRPr="00860485" w:rsidRDefault="008D36C4" w:rsidP="008158E8">
            <w:pPr>
              <w:rPr>
                <w:rFonts w:ascii="Calibri" w:hAnsi="Calibri"/>
                <w:b/>
                <w:sz w:val="22"/>
                <w:szCs w:val="22"/>
              </w:rPr>
            </w:pPr>
            <w:r w:rsidRPr="00860485">
              <w:rPr>
                <w:rFonts w:ascii="Calibri" w:hAnsi="Calibri"/>
                <w:b/>
                <w:sz w:val="22"/>
                <w:szCs w:val="22"/>
              </w:rPr>
              <w:t>New Mexico</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7.8</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860485" w:rsidRDefault="008D36C4" w:rsidP="008158E8">
            <w:pPr>
              <w:rPr>
                <w:rFonts w:ascii="Calibri" w:hAnsi="Calibri"/>
                <w:b/>
                <w:sz w:val="22"/>
                <w:szCs w:val="22"/>
              </w:rPr>
            </w:pPr>
            <w:r w:rsidRPr="00860485">
              <w:rPr>
                <w:rFonts w:ascii="Calibri" w:hAnsi="Calibri"/>
                <w:b/>
                <w:sz w:val="22"/>
                <w:szCs w:val="22"/>
              </w:rPr>
              <w:t>Health Region</w:t>
            </w:r>
          </w:p>
        </w:tc>
        <w:tc>
          <w:tcPr>
            <w:tcW w:w="1440" w:type="dxa"/>
          </w:tcPr>
          <w:p w:rsidR="008D36C4" w:rsidRPr="00CB5E91" w:rsidRDefault="008D36C4" w:rsidP="008158E8">
            <w:pPr>
              <w:pStyle w:val="NoSpacing"/>
              <w:jc w:val="both"/>
              <w:rPr>
                <w:rFonts w:ascii="Calibri" w:hAnsi="Calibri"/>
                <w:sz w:val="22"/>
                <w:szCs w:val="22"/>
              </w:rPr>
            </w:pP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Female</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7.5</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bottom"/>
          </w:tcPr>
          <w:p w:rsidR="008D36C4" w:rsidRPr="00CB5E91" w:rsidRDefault="008D36C4" w:rsidP="008158E8">
            <w:pPr>
              <w:rPr>
                <w:rFonts w:ascii="Calibri" w:hAnsi="Calibri"/>
                <w:sz w:val="22"/>
                <w:szCs w:val="22"/>
              </w:rPr>
            </w:pPr>
            <w:r w:rsidRPr="00CB5E91">
              <w:rPr>
                <w:rFonts w:ascii="Calibri" w:hAnsi="Calibri"/>
                <w:sz w:val="22"/>
                <w:szCs w:val="22"/>
              </w:rPr>
              <w:t>Northwest</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9.1</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Male</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8.2</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bottom"/>
          </w:tcPr>
          <w:p w:rsidR="008D36C4" w:rsidRPr="00CB5E91" w:rsidRDefault="008D36C4" w:rsidP="008158E8">
            <w:pPr>
              <w:rPr>
                <w:rFonts w:ascii="Calibri" w:hAnsi="Calibri"/>
                <w:sz w:val="22"/>
                <w:szCs w:val="22"/>
              </w:rPr>
            </w:pPr>
            <w:r w:rsidRPr="00CB5E91">
              <w:rPr>
                <w:rFonts w:ascii="Calibri" w:hAnsi="Calibri"/>
                <w:sz w:val="22"/>
                <w:szCs w:val="22"/>
              </w:rPr>
              <w:t>Northeast</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8</w:t>
            </w:r>
          </w:p>
        </w:tc>
      </w:tr>
      <w:tr w:rsidR="008D36C4" w:rsidRPr="00CB5E91" w:rsidTr="00A57A22">
        <w:tc>
          <w:tcPr>
            <w:tcW w:w="2160" w:type="dxa"/>
            <w:vAlign w:val="center"/>
          </w:tcPr>
          <w:p w:rsidR="008D36C4" w:rsidRPr="00CB5E91" w:rsidRDefault="008D36C4" w:rsidP="008158E8">
            <w:pPr>
              <w:rPr>
                <w:rFonts w:ascii="Calibri" w:hAnsi="Calibri"/>
                <w:sz w:val="22"/>
                <w:szCs w:val="22"/>
              </w:rPr>
            </w:pPr>
          </w:p>
        </w:tc>
        <w:tc>
          <w:tcPr>
            <w:tcW w:w="1530" w:type="dxa"/>
            <w:vAlign w:val="bottom"/>
          </w:tcPr>
          <w:p w:rsidR="008D36C4" w:rsidRPr="00CB5E91" w:rsidRDefault="008D36C4" w:rsidP="008158E8">
            <w:pPr>
              <w:rPr>
                <w:rFonts w:ascii="Calibri" w:hAnsi="Calibri" w:cs="Arial"/>
                <w:sz w:val="22"/>
                <w:szCs w:val="22"/>
              </w:rPr>
            </w:pPr>
            <w:r w:rsidRPr="00CB5E91">
              <w:rPr>
                <w:rFonts w:ascii="Calibri" w:hAnsi="Calibri" w:cs="Arial"/>
                <w:sz w:val="22"/>
                <w:szCs w:val="22"/>
              </w:rPr>
              <w:t> </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bottom"/>
          </w:tcPr>
          <w:p w:rsidR="008D36C4" w:rsidRPr="00CB5E91" w:rsidRDefault="00034EDC" w:rsidP="008158E8">
            <w:pPr>
              <w:rPr>
                <w:rFonts w:ascii="Calibri" w:hAnsi="Calibri"/>
                <w:sz w:val="22"/>
                <w:szCs w:val="22"/>
              </w:rPr>
            </w:pPr>
            <w:r>
              <w:rPr>
                <w:rFonts w:ascii="Calibri" w:hAnsi="Calibri"/>
                <w:sz w:val="22"/>
                <w:szCs w:val="22"/>
              </w:rPr>
              <w:t>Metro</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8.2</w:t>
            </w:r>
          </w:p>
        </w:tc>
      </w:tr>
      <w:tr w:rsidR="008D36C4" w:rsidRPr="00CB5E91" w:rsidTr="00A57A22">
        <w:tc>
          <w:tcPr>
            <w:tcW w:w="2160" w:type="dxa"/>
            <w:vAlign w:val="center"/>
          </w:tcPr>
          <w:p w:rsidR="008D36C4" w:rsidRPr="00860485" w:rsidRDefault="008D36C4" w:rsidP="008158E8">
            <w:pPr>
              <w:rPr>
                <w:rFonts w:ascii="Calibri" w:hAnsi="Calibri"/>
                <w:b/>
                <w:sz w:val="22"/>
                <w:szCs w:val="22"/>
              </w:rPr>
            </w:pPr>
            <w:r w:rsidRPr="00860485">
              <w:rPr>
                <w:rFonts w:ascii="Calibri" w:hAnsi="Calibri"/>
                <w:b/>
                <w:sz w:val="22"/>
                <w:szCs w:val="22"/>
              </w:rPr>
              <w:t>Age Group</w:t>
            </w:r>
          </w:p>
        </w:tc>
        <w:tc>
          <w:tcPr>
            <w:tcW w:w="1530" w:type="dxa"/>
            <w:vAlign w:val="bottom"/>
          </w:tcPr>
          <w:p w:rsidR="008D36C4" w:rsidRPr="00CB5E91" w:rsidRDefault="008D36C4" w:rsidP="008158E8">
            <w:pPr>
              <w:rPr>
                <w:rFonts w:ascii="Calibri" w:hAnsi="Calibri" w:cs="Arial"/>
                <w:sz w:val="22"/>
                <w:szCs w:val="22"/>
              </w:rPr>
            </w:pPr>
            <w:r w:rsidRPr="00CB5E91">
              <w:rPr>
                <w:rFonts w:ascii="Calibri" w:hAnsi="Calibri" w:cs="Arial"/>
                <w:sz w:val="22"/>
                <w:szCs w:val="22"/>
              </w:rPr>
              <w:t> </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bottom"/>
          </w:tcPr>
          <w:p w:rsidR="008D36C4" w:rsidRPr="00CB5E91" w:rsidRDefault="008D36C4" w:rsidP="008158E8">
            <w:pPr>
              <w:rPr>
                <w:rFonts w:ascii="Calibri" w:hAnsi="Calibri"/>
                <w:sz w:val="22"/>
                <w:szCs w:val="22"/>
              </w:rPr>
            </w:pPr>
            <w:r w:rsidRPr="00CB5E91">
              <w:rPr>
                <w:rFonts w:ascii="Calibri" w:hAnsi="Calibri"/>
                <w:sz w:val="22"/>
                <w:szCs w:val="22"/>
              </w:rPr>
              <w:t>Southeast</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7.2</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18-39 years</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4.1</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bottom"/>
          </w:tcPr>
          <w:p w:rsidR="008D36C4" w:rsidRPr="00CB5E91" w:rsidRDefault="008D36C4" w:rsidP="008158E8">
            <w:pPr>
              <w:rPr>
                <w:rFonts w:ascii="Calibri" w:hAnsi="Calibri"/>
                <w:sz w:val="22"/>
                <w:szCs w:val="22"/>
              </w:rPr>
            </w:pPr>
            <w:r w:rsidRPr="00CB5E91">
              <w:rPr>
                <w:rFonts w:ascii="Calibri" w:hAnsi="Calibri"/>
                <w:sz w:val="22"/>
                <w:szCs w:val="22"/>
              </w:rPr>
              <w:t>Southwest</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6.6</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40-59  years</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9.4</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 </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60 years &amp; older</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11.9</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 </w:t>
            </w:r>
          </w:p>
        </w:tc>
      </w:tr>
      <w:tr w:rsidR="008D36C4" w:rsidRPr="00CB5E91" w:rsidTr="00A57A22">
        <w:tc>
          <w:tcPr>
            <w:tcW w:w="2160" w:type="dxa"/>
            <w:vAlign w:val="center"/>
          </w:tcPr>
          <w:p w:rsidR="008D36C4" w:rsidRPr="00CB5E91" w:rsidRDefault="008D36C4" w:rsidP="008158E8">
            <w:pPr>
              <w:rPr>
                <w:rFonts w:ascii="Calibri" w:hAnsi="Calibri"/>
                <w:sz w:val="22"/>
                <w:szCs w:val="22"/>
              </w:rPr>
            </w:pPr>
          </w:p>
        </w:tc>
        <w:tc>
          <w:tcPr>
            <w:tcW w:w="1530" w:type="dxa"/>
            <w:vAlign w:val="bottom"/>
          </w:tcPr>
          <w:p w:rsidR="008D36C4" w:rsidRPr="00CB5E91" w:rsidRDefault="008D36C4" w:rsidP="008158E8">
            <w:pPr>
              <w:rPr>
                <w:rFonts w:ascii="Calibri" w:hAnsi="Calibri" w:cs="Arial"/>
                <w:sz w:val="22"/>
                <w:szCs w:val="22"/>
              </w:rPr>
            </w:pPr>
            <w:r w:rsidRPr="00CB5E91">
              <w:rPr>
                <w:rFonts w:ascii="Calibri" w:hAnsi="Calibri" w:cs="Arial"/>
                <w:sz w:val="22"/>
                <w:szCs w:val="22"/>
              </w:rPr>
              <w:t> </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 </w:t>
            </w:r>
          </w:p>
        </w:tc>
      </w:tr>
      <w:tr w:rsidR="008D36C4" w:rsidRPr="00CB5E91" w:rsidTr="00A57A22">
        <w:tc>
          <w:tcPr>
            <w:tcW w:w="2160" w:type="dxa"/>
            <w:vAlign w:val="center"/>
          </w:tcPr>
          <w:p w:rsidR="008D36C4" w:rsidRPr="00860485" w:rsidRDefault="008D36C4" w:rsidP="008158E8">
            <w:pPr>
              <w:rPr>
                <w:rFonts w:ascii="Calibri" w:hAnsi="Calibri"/>
                <w:b/>
                <w:sz w:val="22"/>
                <w:szCs w:val="22"/>
              </w:rPr>
            </w:pPr>
            <w:r w:rsidRPr="00860485">
              <w:rPr>
                <w:rFonts w:ascii="Calibri" w:hAnsi="Calibri"/>
                <w:b/>
                <w:sz w:val="22"/>
                <w:szCs w:val="22"/>
              </w:rPr>
              <w:t>Household Income</w:t>
            </w:r>
          </w:p>
        </w:tc>
        <w:tc>
          <w:tcPr>
            <w:tcW w:w="1530" w:type="dxa"/>
            <w:vAlign w:val="bottom"/>
          </w:tcPr>
          <w:p w:rsidR="008D36C4" w:rsidRPr="00CB5E91" w:rsidRDefault="008D36C4" w:rsidP="008158E8">
            <w:pPr>
              <w:rPr>
                <w:rFonts w:ascii="Calibri" w:hAnsi="Calibri" w:cs="Arial"/>
                <w:sz w:val="22"/>
                <w:szCs w:val="22"/>
              </w:rPr>
            </w:pPr>
            <w:r w:rsidRPr="00CB5E91">
              <w:rPr>
                <w:rFonts w:ascii="Calibri" w:hAnsi="Calibri" w:cs="Arial"/>
                <w:sz w:val="22"/>
                <w:szCs w:val="22"/>
              </w:rPr>
              <w:t> </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860485" w:rsidRDefault="008D36C4" w:rsidP="008158E8">
            <w:pPr>
              <w:rPr>
                <w:rFonts w:ascii="Calibri" w:hAnsi="Calibri"/>
                <w:b/>
                <w:sz w:val="22"/>
                <w:szCs w:val="22"/>
              </w:rPr>
            </w:pPr>
            <w:r w:rsidRPr="00860485">
              <w:rPr>
                <w:rFonts w:ascii="Calibri" w:hAnsi="Calibri"/>
                <w:b/>
                <w:sz w:val="22"/>
                <w:szCs w:val="22"/>
              </w:rPr>
              <w:t>Race/Ethnicity</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 </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&lt; $15,000</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9.7</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American Indian/Alaska Native</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12.6</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$15-24,999</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9.2</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Asian/Native Hawaiian /Other Pacific Isle*</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3.1</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$25-34,999</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8.8</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Black/African American</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12.3</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$35-49,999</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6.6</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Hispanic</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8.9</w:t>
            </w:r>
          </w:p>
        </w:tc>
      </w:tr>
      <w:tr w:rsidR="008D36C4" w:rsidRPr="00CB5E91" w:rsidTr="00A57A22">
        <w:tc>
          <w:tcPr>
            <w:tcW w:w="216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&gt; $50,000</w:t>
            </w:r>
          </w:p>
        </w:tc>
        <w:tc>
          <w:tcPr>
            <w:tcW w:w="153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6.8</w:t>
            </w:r>
          </w:p>
        </w:tc>
        <w:tc>
          <w:tcPr>
            <w:tcW w:w="360" w:type="dxa"/>
            <w:vMerge/>
          </w:tcPr>
          <w:p w:rsidR="008D36C4" w:rsidRPr="00CB5E91" w:rsidRDefault="008D36C4" w:rsidP="008158E8">
            <w:pPr>
              <w:pStyle w:val="NoSpacing"/>
              <w:jc w:val="both"/>
              <w:rPr>
                <w:rFonts w:ascii="Calibri" w:hAnsi="Calibri"/>
                <w:sz w:val="22"/>
                <w:szCs w:val="22"/>
              </w:rPr>
            </w:pPr>
          </w:p>
        </w:tc>
        <w:tc>
          <w:tcPr>
            <w:tcW w:w="4050" w:type="dxa"/>
            <w:vAlign w:val="center"/>
          </w:tcPr>
          <w:p w:rsidR="008D36C4" w:rsidRPr="00CB5E91" w:rsidRDefault="008D36C4" w:rsidP="008158E8">
            <w:pPr>
              <w:rPr>
                <w:rFonts w:ascii="Calibri" w:hAnsi="Calibri"/>
                <w:sz w:val="22"/>
                <w:szCs w:val="22"/>
              </w:rPr>
            </w:pPr>
            <w:r w:rsidRPr="00CB5E91">
              <w:rPr>
                <w:rFonts w:ascii="Calibri" w:hAnsi="Calibri"/>
                <w:sz w:val="22"/>
                <w:szCs w:val="22"/>
              </w:rPr>
              <w:t>White</w:t>
            </w:r>
          </w:p>
        </w:tc>
        <w:tc>
          <w:tcPr>
            <w:tcW w:w="1440" w:type="dxa"/>
            <w:vAlign w:val="bottom"/>
          </w:tcPr>
          <w:p w:rsidR="008D36C4" w:rsidRPr="00CB5E91" w:rsidRDefault="008D36C4" w:rsidP="008158E8">
            <w:pPr>
              <w:jc w:val="right"/>
              <w:rPr>
                <w:rFonts w:ascii="Calibri" w:hAnsi="Calibri" w:cs="Arial"/>
                <w:sz w:val="22"/>
                <w:szCs w:val="22"/>
              </w:rPr>
            </w:pPr>
            <w:r w:rsidRPr="00CB5E91">
              <w:rPr>
                <w:rFonts w:ascii="Calibri" w:hAnsi="Calibri" w:cs="Arial"/>
                <w:sz w:val="22"/>
                <w:szCs w:val="22"/>
              </w:rPr>
              <w:t>6.3</w:t>
            </w:r>
          </w:p>
        </w:tc>
      </w:tr>
    </w:tbl>
    <w:p w:rsidR="008D36C4" w:rsidRPr="00A57A22" w:rsidRDefault="008D36C4" w:rsidP="008D36C4">
      <w:pPr>
        <w:pStyle w:val="NoSpacing"/>
        <w:rPr>
          <w:rFonts w:ascii="Arial Narrow" w:hAnsi="Arial Narrow"/>
          <w:sz w:val="16"/>
        </w:rPr>
      </w:pPr>
      <w:r w:rsidRPr="00A57A22">
        <w:rPr>
          <w:rFonts w:ascii="Arial Narrow" w:hAnsi="Arial Narrow"/>
          <w:sz w:val="16"/>
        </w:rPr>
        <w:t>Data Source: New Mexico Department of Health, Behavioral Risk Factor Surveillance System (BRFSS), 2012 &amp; 2013.</w:t>
      </w:r>
    </w:p>
    <w:p w:rsidR="008D36C4" w:rsidRPr="00A57A22" w:rsidRDefault="008D36C4" w:rsidP="008D36C4">
      <w:pPr>
        <w:pStyle w:val="NoSpacing"/>
        <w:rPr>
          <w:rFonts w:ascii="Arial Narrow" w:hAnsi="Arial Narrow"/>
          <w:sz w:val="16"/>
        </w:rPr>
      </w:pPr>
      <w:r w:rsidRPr="00A57A22">
        <w:rPr>
          <w:rFonts w:ascii="Arial Narrow" w:hAnsi="Arial Narrow"/>
          <w:sz w:val="16"/>
        </w:rPr>
        <w:t xml:space="preserve">Two years of data are used to increase the reliability of some of the rates. All rates except age group rates are age-adjusted to the 2000 US standard.  * This estimated rate should not be used to describe population/group risk because it is statistically unreliable.  </w:t>
      </w:r>
    </w:p>
    <w:p w:rsidR="00E06266" w:rsidRPr="00E06266" w:rsidRDefault="00E06266" w:rsidP="00E06266">
      <w:pPr>
        <w:pStyle w:val="Heading1"/>
        <w:rPr>
          <w:rFonts w:ascii="Century Gothic" w:hAnsi="Century Gothic"/>
          <w:color w:val="B01513"/>
        </w:rPr>
      </w:pPr>
      <w:r w:rsidRPr="00E06266">
        <w:rPr>
          <w:rFonts w:ascii="Century Gothic" w:hAnsi="Century Gothic"/>
          <w:color w:val="B01513"/>
        </w:rPr>
        <w:t>Prediabetes Prevalence</w:t>
      </w:r>
    </w:p>
    <w:p w:rsidR="00E06266" w:rsidRPr="008A79D1" w:rsidRDefault="00E06266" w:rsidP="00DF3147">
      <w:pPr>
        <w:pStyle w:val="NoSpacing"/>
        <w:spacing w:line="300" w:lineRule="auto"/>
        <w:jc w:val="both"/>
        <w:rPr>
          <w:rFonts w:ascii="Century Gothic" w:hAnsi="Century Gothic"/>
          <w:sz w:val="21"/>
          <w:szCs w:val="21"/>
        </w:rPr>
      </w:pPr>
      <w:r w:rsidRPr="008A79D1">
        <w:rPr>
          <w:rFonts w:ascii="Century Gothic" w:hAnsi="Century Gothic"/>
          <w:sz w:val="21"/>
          <w:szCs w:val="21"/>
        </w:rPr>
        <w:t xml:space="preserve">Table 1 shows NM rates of diagnosed prediabetes by population characteristics. The older the age group, the higher the prevalence: the oldest age group (60 &amp; older) rate </w:t>
      </w:r>
      <w:r w:rsidR="00F505AA">
        <w:rPr>
          <w:rFonts w:ascii="Century Gothic" w:hAnsi="Century Gothic"/>
          <w:sz w:val="21"/>
          <w:szCs w:val="21"/>
        </w:rPr>
        <w:t>was</w:t>
      </w:r>
      <w:r w:rsidRPr="008A79D1">
        <w:rPr>
          <w:rFonts w:ascii="Century Gothic" w:hAnsi="Century Gothic"/>
          <w:sz w:val="21"/>
          <w:szCs w:val="21"/>
        </w:rPr>
        <w:t xml:space="preserve"> 2.9 </w:t>
      </w:r>
      <w:r w:rsidRPr="008A79D1">
        <w:rPr>
          <w:rFonts w:ascii="Century Gothic" w:hAnsi="Century Gothic"/>
          <w:sz w:val="21"/>
          <w:szCs w:val="21"/>
        </w:rPr>
        <w:lastRenderedPageBreak/>
        <w:t>times higher than the youngest age group (18-39) rate. The lower the household income, the higher the prediabetes prevalence. The lowest household</w:t>
      </w:r>
      <w:r w:rsidR="00F505AA">
        <w:rPr>
          <w:rFonts w:ascii="Century Gothic" w:hAnsi="Century Gothic"/>
          <w:sz w:val="21"/>
          <w:szCs w:val="21"/>
        </w:rPr>
        <w:t xml:space="preserve"> income group (&lt;$15,000) rate was</w:t>
      </w:r>
      <w:r w:rsidRPr="008A79D1">
        <w:rPr>
          <w:rFonts w:ascii="Century Gothic" w:hAnsi="Century Gothic"/>
          <w:sz w:val="21"/>
          <w:szCs w:val="21"/>
        </w:rPr>
        <w:t xml:space="preserve"> 47% higher than $35-49,999 rate. The American Indian and Black rates were twice the White</w:t>
      </w:r>
      <w:r w:rsidR="008701D7">
        <w:rPr>
          <w:rFonts w:ascii="Century Gothic" w:hAnsi="Century Gothic"/>
          <w:sz w:val="21"/>
          <w:szCs w:val="21"/>
        </w:rPr>
        <w:t xml:space="preserve"> rate</w:t>
      </w:r>
      <w:r w:rsidRPr="008A79D1">
        <w:rPr>
          <w:rFonts w:ascii="Century Gothic" w:hAnsi="Century Gothic"/>
          <w:sz w:val="21"/>
          <w:szCs w:val="21"/>
        </w:rPr>
        <w:t xml:space="preserve">. These differences in rates are all statistically significant. </w:t>
      </w:r>
    </w:p>
    <w:p w:rsidR="00E06266" w:rsidRPr="00E06266" w:rsidRDefault="00E06266" w:rsidP="00E06266">
      <w:pPr>
        <w:pStyle w:val="Heading1"/>
        <w:rPr>
          <w:rFonts w:ascii="Century Gothic" w:hAnsi="Century Gothic"/>
          <w:color w:val="B01513"/>
        </w:rPr>
      </w:pPr>
      <w:r w:rsidRPr="00E06266">
        <w:rPr>
          <w:rFonts w:ascii="Century Gothic" w:hAnsi="Century Gothic"/>
          <w:color w:val="B01513"/>
        </w:rPr>
        <w:t>Diabetes</w:t>
      </w:r>
    </w:p>
    <w:p w:rsidR="00EF4DA1" w:rsidRPr="008A79D1" w:rsidRDefault="00E06266" w:rsidP="009A721D">
      <w:pPr>
        <w:pStyle w:val="NoSpacing"/>
        <w:spacing w:line="300" w:lineRule="auto"/>
        <w:jc w:val="both"/>
        <w:rPr>
          <w:rFonts w:ascii="Century Gothic" w:hAnsi="Century Gothic"/>
          <w:sz w:val="21"/>
          <w:szCs w:val="21"/>
        </w:rPr>
      </w:pPr>
      <w:r w:rsidRPr="008A79D1">
        <w:rPr>
          <w:rFonts w:ascii="Century Gothic" w:hAnsi="Century Gothic"/>
          <w:sz w:val="21"/>
          <w:szCs w:val="21"/>
        </w:rPr>
        <w:t>Uncontrolled diabetes can lead to serious complications and premature death. However, people with diabetes can successfully manage their diabetes and lower their risk for developing complications.</w:t>
      </w:r>
    </w:p>
    <w:p w:rsidR="00DD4BC1" w:rsidRPr="00AF5235" w:rsidRDefault="00DD4BC1" w:rsidP="00DD4BC1">
      <w:pPr>
        <w:pStyle w:val="NoSpacing"/>
        <w:jc w:val="both"/>
        <w:rPr>
          <w:sz w:val="21"/>
          <w:szCs w:val="21"/>
        </w:rPr>
      </w:pPr>
    </w:p>
    <w:tbl>
      <w:tblPr>
        <w:tblW w:w="9360" w:type="dxa"/>
        <w:tblInd w:w="90" w:type="dxa"/>
        <w:tblLook w:val="04A0" w:firstRow="1" w:lastRow="0" w:firstColumn="1" w:lastColumn="0" w:noHBand="0" w:noVBand="1"/>
      </w:tblPr>
      <w:tblGrid>
        <w:gridCol w:w="9360"/>
      </w:tblGrid>
      <w:tr w:rsidR="002551F4" w:rsidRPr="002551F4" w:rsidTr="00FE6CD1">
        <w:trPr>
          <w:trHeight w:val="300"/>
        </w:trPr>
        <w:tc>
          <w:tcPr>
            <w:tcW w:w="9360" w:type="dxa"/>
            <w:tcBorders>
              <w:top w:val="single" w:sz="4" w:space="0" w:color="auto"/>
              <w:left w:val="nil"/>
              <w:bottom w:val="single" w:sz="4" w:space="0" w:color="auto"/>
            </w:tcBorders>
            <w:shd w:val="clear" w:color="auto" w:fill="auto"/>
            <w:noWrap/>
            <w:vAlign w:val="center"/>
            <w:hideMark/>
          </w:tcPr>
          <w:p w:rsidR="00DD4BC1" w:rsidRPr="002551F4" w:rsidRDefault="00DD4BC1" w:rsidP="008158E8">
            <w:pPr>
              <w:pStyle w:val="NoSpacing"/>
              <w:jc w:val="center"/>
              <w:rPr>
                <w:rFonts w:ascii="Century Gothic" w:hAnsi="Century Gothic"/>
                <w:b/>
                <w:sz w:val="21"/>
                <w:szCs w:val="21"/>
              </w:rPr>
            </w:pPr>
            <w:r w:rsidRPr="002551F4">
              <w:rPr>
                <w:rFonts w:ascii="Century Gothic" w:hAnsi="Century Gothic"/>
                <w:b/>
                <w:sz w:val="21"/>
                <w:szCs w:val="21"/>
              </w:rPr>
              <w:t xml:space="preserve">Table </w:t>
            </w:r>
            <w:r w:rsidR="001726FC" w:rsidRPr="002551F4">
              <w:rPr>
                <w:rFonts w:ascii="Century Gothic" w:hAnsi="Century Gothic"/>
                <w:b/>
                <w:bCs/>
                <w:sz w:val="21"/>
                <w:szCs w:val="21"/>
              </w:rPr>
              <w:t xml:space="preserve">2: Estimated </w:t>
            </w:r>
            <w:r w:rsidRPr="002551F4">
              <w:rPr>
                <w:rFonts w:ascii="Century Gothic" w:hAnsi="Century Gothic"/>
                <w:b/>
                <w:bCs/>
                <w:sz w:val="21"/>
                <w:szCs w:val="21"/>
              </w:rPr>
              <w:t>Diagnosed Diabetes</w:t>
            </w:r>
            <w:r w:rsidRPr="002551F4">
              <w:rPr>
                <w:rFonts w:ascii="Century Gothic" w:hAnsi="Century Gothic"/>
                <w:b/>
                <w:sz w:val="21"/>
                <w:szCs w:val="21"/>
              </w:rPr>
              <w:t xml:space="preserve"> Prevalence (%) 2012-2013, NM BRFSS</w:t>
            </w:r>
          </w:p>
          <w:p w:rsidR="00DD4BC1" w:rsidRPr="00FC682A" w:rsidRDefault="00FC682A" w:rsidP="00FC682A">
            <w:pPr>
              <w:pStyle w:val="NoSpacing"/>
              <w:jc w:val="center"/>
              <w:rPr>
                <w:rFonts w:ascii="Century Gothic" w:hAnsi="Century Gothic"/>
                <w:i/>
                <w:sz w:val="21"/>
                <w:szCs w:val="21"/>
              </w:rPr>
            </w:pPr>
            <w:r w:rsidRPr="00FC682A">
              <w:rPr>
                <w:i/>
                <w:sz w:val="20"/>
                <w:szCs w:val="20"/>
              </w:rPr>
              <w:t xml:space="preserve">Has a doctor, nurse, or other health professional EVER told you that you have </w:t>
            </w:r>
            <w:r w:rsidR="00DD4BC1" w:rsidRPr="00FC682A">
              <w:rPr>
                <w:rFonts w:ascii="Century Gothic" w:hAnsi="Century Gothic"/>
                <w:i/>
                <w:iCs/>
                <w:sz w:val="16"/>
                <w:szCs w:val="21"/>
              </w:rPr>
              <w:t>diabetes?</w:t>
            </w:r>
          </w:p>
        </w:tc>
      </w:tr>
    </w:tbl>
    <w:p w:rsidR="00DD4BC1" w:rsidRDefault="00DD4BC1" w:rsidP="00DD4BC1">
      <w:pPr>
        <w:pStyle w:val="NoSpacing"/>
        <w:jc w:val="both"/>
        <w:rPr>
          <w:rFonts w:ascii="Century Gothic" w:hAnsi="Century Gothic"/>
          <w:sz w:val="21"/>
          <w:szCs w:val="21"/>
        </w:rPr>
      </w:pPr>
    </w:p>
    <w:tbl>
      <w:tblPr>
        <w:tblStyle w:val="TableGrid"/>
        <w:tblW w:w="9535" w:type="dxa"/>
        <w:tblLook w:val="04A0" w:firstRow="1" w:lastRow="0" w:firstColumn="1" w:lastColumn="0" w:noHBand="0" w:noVBand="1"/>
      </w:tblPr>
      <w:tblGrid>
        <w:gridCol w:w="2065"/>
        <w:gridCol w:w="1350"/>
        <w:gridCol w:w="450"/>
        <w:gridCol w:w="4050"/>
        <w:gridCol w:w="1620"/>
      </w:tblGrid>
      <w:tr w:rsidR="007B4374" w:rsidRPr="00211C7E" w:rsidTr="008158E8">
        <w:tc>
          <w:tcPr>
            <w:tcW w:w="2065" w:type="dxa"/>
            <w:vAlign w:val="center"/>
          </w:tcPr>
          <w:p w:rsidR="007B4374" w:rsidRPr="00211C7E" w:rsidRDefault="007B4374" w:rsidP="008158E8">
            <w:pPr>
              <w:jc w:val="right"/>
              <w:rPr>
                <w:rFonts w:ascii="Calibri" w:hAnsi="Calibri"/>
                <w:sz w:val="22"/>
                <w:szCs w:val="22"/>
              </w:rPr>
            </w:pPr>
          </w:p>
        </w:tc>
        <w:tc>
          <w:tcPr>
            <w:tcW w:w="1350" w:type="dxa"/>
            <w:vAlign w:val="center"/>
          </w:tcPr>
          <w:p w:rsidR="007B4374" w:rsidRPr="00211C7E" w:rsidRDefault="007B4374" w:rsidP="008158E8">
            <w:pPr>
              <w:jc w:val="right"/>
              <w:rPr>
                <w:rFonts w:ascii="Calibri" w:hAnsi="Calibri"/>
                <w:bCs/>
                <w:sz w:val="22"/>
                <w:szCs w:val="22"/>
              </w:rPr>
            </w:pPr>
            <w:r w:rsidRPr="00211C7E">
              <w:rPr>
                <w:rFonts w:ascii="Calibri" w:hAnsi="Calibri"/>
                <w:bCs/>
                <w:sz w:val="22"/>
                <w:szCs w:val="22"/>
              </w:rPr>
              <w:t>Percent  of  Adults</w:t>
            </w:r>
          </w:p>
        </w:tc>
        <w:tc>
          <w:tcPr>
            <w:tcW w:w="450" w:type="dxa"/>
            <w:vMerge w:val="restart"/>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jc w:val="right"/>
              <w:rPr>
                <w:rFonts w:ascii="Calibri" w:hAnsi="Calibri"/>
                <w:sz w:val="22"/>
                <w:szCs w:val="22"/>
              </w:rPr>
            </w:pPr>
          </w:p>
        </w:tc>
        <w:tc>
          <w:tcPr>
            <w:tcW w:w="1620" w:type="dxa"/>
            <w:vAlign w:val="center"/>
          </w:tcPr>
          <w:p w:rsidR="007B4374" w:rsidRPr="00211C7E" w:rsidRDefault="007B4374" w:rsidP="008158E8">
            <w:pPr>
              <w:jc w:val="right"/>
              <w:rPr>
                <w:rFonts w:ascii="Calibri" w:hAnsi="Calibri"/>
                <w:bCs/>
                <w:sz w:val="22"/>
                <w:szCs w:val="22"/>
              </w:rPr>
            </w:pPr>
            <w:r w:rsidRPr="00211C7E">
              <w:rPr>
                <w:rFonts w:ascii="Calibri" w:hAnsi="Calibri"/>
                <w:bCs/>
                <w:sz w:val="22"/>
                <w:szCs w:val="22"/>
              </w:rPr>
              <w:t>Percent  of   Adults</w:t>
            </w:r>
          </w:p>
        </w:tc>
      </w:tr>
      <w:tr w:rsidR="007B4374" w:rsidRPr="00211C7E" w:rsidTr="008158E8">
        <w:tc>
          <w:tcPr>
            <w:tcW w:w="2065" w:type="dxa"/>
            <w:vAlign w:val="center"/>
          </w:tcPr>
          <w:p w:rsidR="007B4374" w:rsidRPr="00211C7E" w:rsidRDefault="007B4374" w:rsidP="008158E8">
            <w:pPr>
              <w:rPr>
                <w:rFonts w:ascii="Calibri" w:hAnsi="Calibri"/>
                <w:b/>
                <w:sz w:val="22"/>
                <w:szCs w:val="22"/>
              </w:rPr>
            </w:pPr>
            <w:r w:rsidRPr="00211C7E">
              <w:rPr>
                <w:rFonts w:ascii="Calibri" w:hAnsi="Calibri"/>
                <w:b/>
                <w:sz w:val="22"/>
                <w:szCs w:val="22"/>
              </w:rPr>
              <w:t>New Mexico</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9.6</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b/>
                <w:sz w:val="22"/>
                <w:szCs w:val="22"/>
              </w:rPr>
            </w:pPr>
            <w:r w:rsidRPr="00211C7E">
              <w:rPr>
                <w:rFonts w:ascii="Calibri" w:hAnsi="Calibri"/>
                <w:b/>
                <w:sz w:val="22"/>
                <w:szCs w:val="22"/>
              </w:rPr>
              <w:t>Health Region</w:t>
            </w:r>
          </w:p>
        </w:tc>
        <w:tc>
          <w:tcPr>
            <w:tcW w:w="1620" w:type="dxa"/>
          </w:tcPr>
          <w:p w:rsidR="007B4374" w:rsidRPr="00211C7E" w:rsidRDefault="007B4374" w:rsidP="008158E8">
            <w:pPr>
              <w:pStyle w:val="NoSpacing"/>
              <w:jc w:val="both"/>
              <w:rPr>
                <w:rFonts w:ascii="Calibri" w:hAnsi="Calibri"/>
                <w:sz w:val="22"/>
                <w:szCs w:val="22"/>
              </w:rPr>
            </w:pP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Female</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9.2</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bottom"/>
          </w:tcPr>
          <w:p w:rsidR="007B4374" w:rsidRPr="00211C7E" w:rsidRDefault="007B4374" w:rsidP="008158E8">
            <w:pPr>
              <w:rPr>
                <w:rFonts w:ascii="Calibri" w:hAnsi="Calibri"/>
                <w:sz w:val="22"/>
                <w:szCs w:val="22"/>
              </w:rPr>
            </w:pPr>
            <w:r w:rsidRPr="00211C7E">
              <w:rPr>
                <w:rFonts w:ascii="Calibri" w:hAnsi="Calibri"/>
                <w:sz w:val="22"/>
                <w:szCs w:val="22"/>
              </w:rPr>
              <w:t>Northwest</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12.1</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Male</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10.1</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bottom"/>
          </w:tcPr>
          <w:p w:rsidR="007B4374" w:rsidRPr="00211C7E" w:rsidRDefault="007B4374" w:rsidP="008158E8">
            <w:pPr>
              <w:rPr>
                <w:rFonts w:ascii="Calibri" w:hAnsi="Calibri"/>
                <w:sz w:val="22"/>
                <w:szCs w:val="22"/>
              </w:rPr>
            </w:pPr>
            <w:r w:rsidRPr="00211C7E">
              <w:rPr>
                <w:rFonts w:ascii="Calibri" w:hAnsi="Calibri"/>
                <w:sz w:val="22"/>
                <w:szCs w:val="22"/>
              </w:rPr>
              <w:t>Northeast</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7.3</w:t>
            </w:r>
          </w:p>
        </w:tc>
      </w:tr>
      <w:tr w:rsidR="007B4374" w:rsidRPr="00211C7E" w:rsidTr="008158E8">
        <w:tc>
          <w:tcPr>
            <w:tcW w:w="2065" w:type="dxa"/>
            <w:vAlign w:val="center"/>
          </w:tcPr>
          <w:p w:rsidR="007B4374" w:rsidRPr="00211C7E" w:rsidRDefault="007B4374" w:rsidP="008158E8">
            <w:pPr>
              <w:rPr>
                <w:rFonts w:ascii="Calibri" w:hAnsi="Calibri"/>
                <w:sz w:val="22"/>
                <w:szCs w:val="22"/>
              </w:rPr>
            </w:pPr>
          </w:p>
        </w:tc>
        <w:tc>
          <w:tcPr>
            <w:tcW w:w="135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bottom"/>
          </w:tcPr>
          <w:p w:rsidR="007B4374" w:rsidRPr="00211C7E" w:rsidRDefault="00034EDC" w:rsidP="00034EDC">
            <w:pPr>
              <w:rPr>
                <w:rFonts w:ascii="Calibri" w:hAnsi="Calibri"/>
                <w:sz w:val="22"/>
                <w:szCs w:val="22"/>
              </w:rPr>
            </w:pPr>
            <w:r>
              <w:rPr>
                <w:rFonts w:ascii="Calibri" w:hAnsi="Calibri"/>
                <w:sz w:val="22"/>
                <w:szCs w:val="22"/>
              </w:rPr>
              <w:t>Metro</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8.8</w:t>
            </w:r>
          </w:p>
        </w:tc>
      </w:tr>
      <w:tr w:rsidR="007B4374" w:rsidRPr="00211C7E" w:rsidTr="008158E8">
        <w:tc>
          <w:tcPr>
            <w:tcW w:w="2065" w:type="dxa"/>
            <w:vAlign w:val="center"/>
          </w:tcPr>
          <w:p w:rsidR="007B4374" w:rsidRPr="00211C7E" w:rsidRDefault="007B4374" w:rsidP="008158E8">
            <w:pPr>
              <w:rPr>
                <w:rFonts w:ascii="Calibri" w:hAnsi="Calibri"/>
                <w:b/>
                <w:sz w:val="22"/>
                <w:szCs w:val="22"/>
              </w:rPr>
            </w:pPr>
            <w:r w:rsidRPr="00211C7E">
              <w:rPr>
                <w:rFonts w:ascii="Calibri" w:hAnsi="Calibri"/>
                <w:b/>
                <w:sz w:val="22"/>
                <w:szCs w:val="22"/>
              </w:rPr>
              <w:t>Age Group</w:t>
            </w:r>
          </w:p>
        </w:tc>
        <w:tc>
          <w:tcPr>
            <w:tcW w:w="135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bottom"/>
          </w:tcPr>
          <w:p w:rsidR="007B4374" w:rsidRPr="00211C7E" w:rsidRDefault="007B4374" w:rsidP="008158E8">
            <w:pPr>
              <w:rPr>
                <w:rFonts w:ascii="Calibri" w:hAnsi="Calibri"/>
                <w:sz w:val="22"/>
                <w:szCs w:val="22"/>
              </w:rPr>
            </w:pPr>
            <w:r w:rsidRPr="00211C7E">
              <w:rPr>
                <w:rFonts w:ascii="Calibri" w:hAnsi="Calibri"/>
                <w:sz w:val="22"/>
                <w:szCs w:val="22"/>
              </w:rPr>
              <w:t>Southeast</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11.0</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18-39 years</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2.0</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bottom"/>
          </w:tcPr>
          <w:p w:rsidR="007B4374" w:rsidRPr="00211C7E" w:rsidRDefault="007B4374" w:rsidP="008158E8">
            <w:pPr>
              <w:rPr>
                <w:rFonts w:ascii="Calibri" w:hAnsi="Calibri"/>
                <w:sz w:val="22"/>
                <w:szCs w:val="22"/>
              </w:rPr>
            </w:pPr>
            <w:r w:rsidRPr="00211C7E">
              <w:rPr>
                <w:rFonts w:ascii="Calibri" w:hAnsi="Calibri"/>
                <w:sz w:val="22"/>
                <w:szCs w:val="22"/>
              </w:rPr>
              <w:t>Southwest</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10.9</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40-59  years</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12.1</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p>
        </w:tc>
        <w:tc>
          <w:tcPr>
            <w:tcW w:w="162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60 years &amp; older</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20.1</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p>
        </w:tc>
        <w:tc>
          <w:tcPr>
            <w:tcW w:w="162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r>
      <w:tr w:rsidR="007B4374" w:rsidRPr="00211C7E" w:rsidTr="008158E8">
        <w:tc>
          <w:tcPr>
            <w:tcW w:w="2065" w:type="dxa"/>
            <w:vAlign w:val="center"/>
          </w:tcPr>
          <w:p w:rsidR="007B4374" w:rsidRPr="00211C7E" w:rsidRDefault="007B4374" w:rsidP="008158E8">
            <w:pPr>
              <w:rPr>
                <w:rFonts w:ascii="Calibri" w:hAnsi="Calibri"/>
                <w:sz w:val="22"/>
                <w:szCs w:val="22"/>
              </w:rPr>
            </w:pPr>
          </w:p>
        </w:tc>
        <w:tc>
          <w:tcPr>
            <w:tcW w:w="135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p>
        </w:tc>
        <w:tc>
          <w:tcPr>
            <w:tcW w:w="162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r>
      <w:tr w:rsidR="007B4374" w:rsidRPr="00211C7E" w:rsidTr="008158E8">
        <w:tc>
          <w:tcPr>
            <w:tcW w:w="2065" w:type="dxa"/>
            <w:vAlign w:val="center"/>
          </w:tcPr>
          <w:p w:rsidR="007B4374" w:rsidRPr="00211C7E" w:rsidRDefault="007B4374" w:rsidP="008158E8">
            <w:pPr>
              <w:rPr>
                <w:rFonts w:ascii="Calibri" w:hAnsi="Calibri"/>
                <w:b/>
                <w:sz w:val="22"/>
                <w:szCs w:val="22"/>
              </w:rPr>
            </w:pPr>
            <w:r w:rsidRPr="00211C7E">
              <w:rPr>
                <w:rFonts w:ascii="Calibri" w:hAnsi="Calibri"/>
                <w:b/>
                <w:sz w:val="22"/>
                <w:szCs w:val="22"/>
              </w:rPr>
              <w:t>Household Income</w:t>
            </w:r>
          </w:p>
        </w:tc>
        <w:tc>
          <w:tcPr>
            <w:tcW w:w="135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b/>
                <w:sz w:val="22"/>
                <w:szCs w:val="22"/>
              </w:rPr>
            </w:pPr>
            <w:r w:rsidRPr="00211C7E">
              <w:rPr>
                <w:rFonts w:ascii="Calibri" w:hAnsi="Calibri"/>
                <w:b/>
                <w:sz w:val="22"/>
                <w:szCs w:val="22"/>
              </w:rPr>
              <w:t>Race/Ethnicity</w:t>
            </w:r>
          </w:p>
        </w:tc>
        <w:tc>
          <w:tcPr>
            <w:tcW w:w="1620" w:type="dxa"/>
            <w:vAlign w:val="bottom"/>
          </w:tcPr>
          <w:p w:rsidR="007B4374" w:rsidRPr="00211C7E" w:rsidRDefault="007B4374" w:rsidP="008158E8">
            <w:pPr>
              <w:rPr>
                <w:rFonts w:ascii="Calibri" w:hAnsi="Calibri" w:cs="Arial"/>
                <w:sz w:val="22"/>
                <w:szCs w:val="22"/>
              </w:rPr>
            </w:pPr>
            <w:r w:rsidRPr="00211C7E">
              <w:rPr>
                <w:rFonts w:ascii="Calibri" w:hAnsi="Calibri" w:cs="Arial"/>
                <w:sz w:val="22"/>
                <w:szCs w:val="22"/>
              </w:rPr>
              <w:t> </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&lt; $15,000</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15.2</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r w:rsidRPr="00211C7E">
              <w:rPr>
                <w:rFonts w:ascii="Calibri" w:hAnsi="Calibri"/>
                <w:sz w:val="22"/>
                <w:szCs w:val="22"/>
              </w:rPr>
              <w:t>American Indian/Alaska Native</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18.1</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$15-24,999</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11.8</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r w:rsidRPr="00211C7E">
              <w:rPr>
                <w:rFonts w:ascii="Calibri" w:hAnsi="Calibri"/>
                <w:sz w:val="22"/>
                <w:szCs w:val="22"/>
              </w:rPr>
              <w:t>Asian/Native Hawaiian /Other Pacific Isle*</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8.4</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$25-34,999</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11.1</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r w:rsidRPr="00211C7E">
              <w:rPr>
                <w:rFonts w:ascii="Calibri" w:hAnsi="Calibri"/>
                <w:sz w:val="22"/>
                <w:szCs w:val="22"/>
              </w:rPr>
              <w:t>Black/African American</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9.0</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$35-49,999</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9.4</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r w:rsidRPr="00211C7E">
              <w:rPr>
                <w:rFonts w:ascii="Calibri" w:hAnsi="Calibri"/>
                <w:sz w:val="22"/>
                <w:szCs w:val="22"/>
              </w:rPr>
              <w:t>Hispanic</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12.6</w:t>
            </w:r>
          </w:p>
        </w:tc>
      </w:tr>
      <w:tr w:rsidR="007B4374" w:rsidRPr="00211C7E" w:rsidTr="008158E8">
        <w:tc>
          <w:tcPr>
            <w:tcW w:w="2065" w:type="dxa"/>
            <w:vAlign w:val="center"/>
          </w:tcPr>
          <w:p w:rsidR="007B4374" w:rsidRPr="00211C7E" w:rsidRDefault="007B4374" w:rsidP="008158E8">
            <w:pPr>
              <w:rPr>
                <w:rFonts w:ascii="Calibri" w:hAnsi="Calibri"/>
                <w:sz w:val="22"/>
                <w:szCs w:val="22"/>
              </w:rPr>
            </w:pPr>
            <w:r w:rsidRPr="00211C7E">
              <w:rPr>
                <w:rFonts w:ascii="Calibri" w:hAnsi="Calibri"/>
                <w:sz w:val="22"/>
                <w:szCs w:val="22"/>
              </w:rPr>
              <w:t>&gt; $50,000</w:t>
            </w:r>
          </w:p>
        </w:tc>
        <w:tc>
          <w:tcPr>
            <w:tcW w:w="135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5.8</w:t>
            </w:r>
          </w:p>
        </w:tc>
        <w:tc>
          <w:tcPr>
            <w:tcW w:w="450" w:type="dxa"/>
            <w:vMerge/>
          </w:tcPr>
          <w:p w:rsidR="007B4374" w:rsidRPr="00211C7E" w:rsidRDefault="007B4374" w:rsidP="008158E8">
            <w:pPr>
              <w:pStyle w:val="NoSpacing"/>
              <w:jc w:val="both"/>
              <w:rPr>
                <w:rFonts w:ascii="Calibri" w:hAnsi="Calibri"/>
                <w:sz w:val="22"/>
                <w:szCs w:val="22"/>
              </w:rPr>
            </w:pPr>
          </w:p>
        </w:tc>
        <w:tc>
          <w:tcPr>
            <w:tcW w:w="4050" w:type="dxa"/>
            <w:vAlign w:val="center"/>
          </w:tcPr>
          <w:p w:rsidR="007B4374" w:rsidRPr="00211C7E" w:rsidRDefault="007B4374" w:rsidP="008158E8">
            <w:pPr>
              <w:rPr>
                <w:rFonts w:ascii="Calibri" w:hAnsi="Calibri"/>
                <w:sz w:val="22"/>
                <w:szCs w:val="22"/>
              </w:rPr>
            </w:pPr>
            <w:r w:rsidRPr="00211C7E">
              <w:rPr>
                <w:rFonts w:ascii="Calibri" w:hAnsi="Calibri"/>
                <w:sz w:val="22"/>
                <w:szCs w:val="22"/>
              </w:rPr>
              <w:t>White</w:t>
            </w:r>
          </w:p>
        </w:tc>
        <w:tc>
          <w:tcPr>
            <w:tcW w:w="1620" w:type="dxa"/>
            <w:vAlign w:val="bottom"/>
          </w:tcPr>
          <w:p w:rsidR="007B4374" w:rsidRPr="00211C7E" w:rsidRDefault="007B4374" w:rsidP="008158E8">
            <w:pPr>
              <w:jc w:val="right"/>
              <w:rPr>
                <w:rFonts w:ascii="Calibri" w:hAnsi="Calibri" w:cs="Arial"/>
                <w:sz w:val="22"/>
                <w:szCs w:val="22"/>
              </w:rPr>
            </w:pPr>
            <w:r w:rsidRPr="00211C7E">
              <w:rPr>
                <w:rFonts w:ascii="Calibri" w:hAnsi="Calibri" w:cs="Arial"/>
                <w:sz w:val="22"/>
                <w:szCs w:val="22"/>
              </w:rPr>
              <w:t>6.1</w:t>
            </w:r>
          </w:p>
        </w:tc>
      </w:tr>
    </w:tbl>
    <w:p w:rsidR="00A57A22" w:rsidRPr="008F3DBB" w:rsidRDefault="00A57A22" w:rsidP="00A57A22">
      <w:pPr>
        <w:pStyle w:val="NoSpacing"/>
        <w:jc w:val="both"/>
        <w:rPr>
          <w:rFonts w:ascii="Arial Narrow" w:hAnsi="Arial Narrow"/>
          <w:sz w:val="16"/>
          <w:szCs w:val="20"/>
        </w:rPr>
      </w:pPr>
      <w:r w:rsidRPr="008F3DBB">
        <w:rPr>
          <w:rFonts w:ascii="Arial Narrow" w:hAnsi="Arial Narrow"/>
          <w:sz w:val="16"/>
          <w:szCs w:val="20"/>
        </w:rPr>
        <w:t>Data Source: New Mexico Department of Health, Behavioral Risk Factor Surveillance System (BRFSS), 201</w:t>
      </w:r>
      <w:r>
        <w:rPr>
          <w:rFonts w:ascii="Arial Narrow" w:hAnsi="Arial Narrow"/>
          <w:sz w:val="16"/>
          <w:szCs w:val="20"/>
        </w:rPr>
        <w:t>2</w:t>
      </w:r>
      <w:r w:rsidRPr="008F3DBB">
        <w:rPr>
          <w:rFonts w:ascii="Arial Narrow" w:hAnsi="Arial Narrow"/>
          <w:sz w:val="16"/>
          <w:szCs w:val="20"/>
        </w:rPr>
        <w:t xml:space="preserve"> &amp; 201</w:t>
      </w:r>
      <w:r>
        <w:rPr>
          <w:rFonts w:ascii="Arial Narrow" w:hAnsi="Arial Narrow"/>
          <w:sz w:val="16"/>
          <w:szCs w:val="20"/>
        </w:rPr>
        <w:t>3</w:t>
      </w:r>
      <w:r w:rsidRPr="008F3DBB">
        <w:rPr>
          <w:rFonts w:ascii="Arial Narrow" w:hAnsi="Arial Narrow"/>
          <w:sz w:val="16"/>
          <w:szCs w:val="20"/>
        </w:rPr>
        <w:t xml:space="preserve">. Two years of data are used to increase the reliability of some of the rates. All rates except age group rates are age-adjusted to the 2000 US standard. </w:t>
      </w:r>
    </w:p>
    <w:p w:rsidR="00285A84" w:rsidRPr="002C0B1E" w:rsidRDefault="00285A84" w:rsidP="00285A84">
      <w:pPr>
        <w:pStyle w:val="Heading1"/>
        <w:rPr>
          <w:rFonts w:ascii="Century Gothic" w:hAnsi="Century Gothic"/>
          <w:color w:val="B01513"/>
        </w:rPr>
      </w:pPr>
      <w:r w:rsidRPr="002C0B1E">
        <w:rPr>
          <w:rFonts w:ascii="Century Gothic" w:hAnsi="Century Gothic"/>
          <w:color w:val="B01513"/>
        </w:rPr>
        <w:t>Diabetes Prevalence</w:t>
      </w:r>
    </w:p>
    <w:p w:rsidR="008D2651" w:rsidRDefault="00285A84" w:rsidP="00DF3147">
      <w:pPr>
        <w:pStyle w:val="NoSpacing"/>
        <w:spacing w:line="300" w:lineRule="auto"/>
        <w:jc w:val="both"/>
        <w:rPr>
          <w:rFonts w:ascii="Century Gothic" w:hAnsi="Century Gothic"/>
          <w:sz w:val="21"/>
          <w:szCs w:val="21"/>
        </w:rPr>
      </w:pPr>
      <w:r w:rsidRPr="00EE63D2">
        <w:rPr>
          <w:rFonts w:ascii="Century Gothic" w:hAnsi="Century Gothic"/>
          <w:sz w:val="21"/>
          <w:szCs w:val="21"/>
        </w:rPr>
        <w:t xml:space="preserve">Table 2 shows 2012-2013 NM rates of diagnosed diabetes by population characteristics. </w:t>
      </w:r>
      <w:r w:rsidR="001726FC">
        <w:rPr>
          <w:rFonts w:ascii="Century Gothic" w:hAnsi="Century Gothic"/>
          <w:sz w:val="21"/>
          <w:szCs w:val="21"/>
        </w:rPr>
        <w:t xml:space="preserve">Similar to prediabetes </w:t>
      </w:r>
      <w:r w:rsidR="00A95921">
        <w:rPr>
          <w:rFonts w:ascii="Century Gothic" w:hAnsi="Century Gothic"/>
          <w:sz w:val="21"/>
          <w:szCs w:val="21"/>
        </w:rPr>
        <w:t>prevalence</w:t>
      </w:r>
      <w:r w:rsidR="001726FC">
        <w:rPr>
          <w:rFonts w:ascii="Century Gothic" w:hAnsi="Century Gothic"/>
          <w:sz w:val="21"/>
          <w:szCs w:val="21"/>
        </w:rPr>
        <w:t xml:space="preserve"> and true for </w:t>
      </w:r>
      <w:r w:rsidR="001726FC" w:rsidRPr="00EE63D2">
        <w:rPr>
          <w:rFonts w:ascii="Century Gothic" w:hAnsi="Century Gothic"/>
          <w:sz w:val="21"/>
          <w:szCs w:val="21"/>
        </w:rPr>
        <w:t>many chronic conditions</w:t>
      </w:r>
      <w:r w:rsidR="001726FC">
        <w:rPr>
          <w:rFonts w:ascii="Century Gothic" w:hAnsi="Century Gothic"/>
          <w:sz w:val="21"/>
          <w:szCs w:val="21"/>
        </w:rPr>
        <w:t xml:space="preserve">, the older the age group, the higher the prevalence. </w:t>
      </w:r>
      <w:r w:rsidRPr="00EE63D2">
        <w:rPr>
          <w:rFonts w:ascii="Century Gothic" w:hAnsi="Century Gothic"/>
          <w:sz w:val="21"/>
          <w:szCs w:val="21"/>
        </w:rPr>
        <w:t xml:space="preserve"> The 60+ age group had the highest prevalence, at 10 times that of the 18-39 age group and 1.7 times that of the 40-59 age group rate.</w:t>
      </w:r>
    </w:p>
    <w:p w:rsidR="00285A84" w:rsidRPr="00EE63D2" w:rsidRDefault="00285A84" w:rsidP="00DF3147">
      <w:pPr>
        <w:pStyle w:val="NoSpacing"/>
        <w:spacing w:line="300" w:lineRule="auto"/>
        <w:jc w:val="both"/>
        <w:rPr>
          <w:rFonts w:ascii="Century Gothic" w:hAnsi="Century Gothic"/>
          <w:sz w:val="21"/>
          <w:szCs w:val="21"/>
        </w:rPr>
      </w:pPr>
      <w:r w:rsidRPr="00EE63D2">
        <w:rPr>
          <w:rFonts w:ascii="Century Gothic" w:hAnsi="Century Gothic"/>
          <w:sz w:val="21"/>
          <w:szCs w:val="21"/>
        </w:rPr>
        <w:t xml:space="preserve"> </w:t>
      </w:r>
    </w:p>
    <w:p w:rsidR="00285A84" w:rsidRPr="00EE63D2" w:rsidRDefault="00285A84" w:rsidP="007A6411">
      <w:pPr>
        <w:pStyle w:val="NoSpacing"/>
        <w:spacing w:line="300" w:lineRule="auto"/>
        <w:jc w:val="both"/>
        <w:rPr>
          <w:rFonts w:ascii="Century Gothic" w:hAnsi="Century Gothic"/>
          <w:sz w:val="21"/>
          <w:szCs w:val="21"/>
        </w:rPr>
      </w:pPr>
      <w:r w:rsidRPr="00EE63D2">
        <w:rPr>
          <w:rFonts w:ascii="Century Gothic" w:hAnsi="Century Gothic"/>
          <w:sz w:val="21"/>
          <w:szCs w:val="21"/>
        </w:rPr>
        <w:t>Generally, the lower the household income, the higher the diabetes prevalence. The lowest household income group (&lt;$15,000) had the highest rate, while the highest household income group (&gt;$50,000) had the lowest rate. The &lt;$15,000 rate was 2.6 times higher than the rat</w:t>
      </w:r>
      <w:r w:rsidR="00FC682A">
        <w:rPr>
          <w:rFonts w:ascii="Century Gothic" w:hAnsi="Century Gothic"/>
          <w:sz w:val="21"/>
          <w:szCs w:val="21"/>
        </w:rPr>
        <w:t>e for the &gt;$50,000 group and 1.3</w:t>
      </w:r>
      <w:r w:rsidRPr="00EE63D2">
        <w:rPr>
          <w:rFonts w:ascii="Century Gothic" w:hAnsi="Century Gothic"/>
          <w:sz w:val="21"/>
          <w:szCs w:val="21"/>
        </w:rPr>
        <w:t xml:space="preserve"> times higher than the $15-24,999 rate.</w:t>
      </w:r>
    </w:p>
    <w:p w:rsidR="00FC682A" w:rsidRPr="00FC682A" w:rsidRDefault="00285A84" w:rsidP="00FC682A">
      <w:pPr>
        <w:pStyle w:val="NoSpacing"/>
        <w:spacing w:line="300" w:lineRule="auto"/>
        <w:jc w:val="both"/>
        <w:rPr>
          <w:rFonts w:ascii="Century Gothic" w:hAnsi="Century Gothic"/>
          <w:color w:val="7030A0"/>
          <w:sz w:val="21"/>
          <w:szCs w:val="21"/>
        </w:rPr>
      </w:pPr>
      <w:r w:rsidRPr="00EE63D2">
        <w:rPr>
          <w:rFonts w:ascii="Century Gothic" w:hAnsi="Century Gothic"/>
          <w:sz w:val="21"/>
          <w:szCs w:val="21"/>
        </w:rPr>
        <w:lastRenderedPageBreak/>
        <w:t xml:space="preserve"> Among NM Health Regions, the Northwest Region had the highest rate while the Northeast and Metro Regions had the lowest rates. Among NM’s racial/ethnic groups, rates from high to low are as follows: American Indian/Alaska Native, Hispanic</w:t>
      </w:r>
      <w:r w:rsidR="00FC682A">
        <w:rPr>
          <w:rFonts w:ascii="Century Gothic" w:hAnsi="Century Gothic"/>
          <w:sz w:val="21"/>
          <w:szCs w:val="21"/>
        </w:rPr>
        <w:t xml:space="preserve">, </w:t>
      </w:r>
      <w:r w:rsidRPr="00EE63D2">
        <w:rPr>
          <w:rFonts w:ascii="Century Gothic" w:hAnsi="Century Gothic"/>
          <w:sz w:val="21"/>
          <w:szCs w:val="21"/>
        </w:rPr>
        <w:t>and White. The American Indian rate was three times, and the Hispanic rate was two times, the White rate</w:t>
      </w:r>
      <w:r w:rsidR="00322DC7">
        <w:rPr>
          <w:rFonts w:ascii="Century Gothic" w:hAnsi="Century Gothic"/>
          <w:sz w:val="21"/>
          <w:szCs w:val="21"/>
        </w:rPr>
        <w:t>.</w:t>
      </w:r>
    </w:p>
    <w:p w:rsidR="009200BD" w:rsidRPr="009200BD" w:rsidRDefault="009200BD" w:rsidP="009200BD">
      <w:pPr>
        <w:pStyle w:val="Heading1"/>
        <w:rPr>
          <w:rFonts w:ascii="Century Gothic" w:hAnsi="Century Gothic"/>
          <w:color w:val="B01513"/>
        </w:rPr>
      </w:pPr>
      <w:r w:rsidRPr="009200BD">
        <w:rPr>
          <w:rFonts w:ascii="Century Gothic" w:hAnsi="Century Gothic"/>
          <w:color w:val="B01513"/>
        </w:rPr>
        <w:t>Diabetes Deaths</w:t>
      </w:r>
    </w:p>
    <w:p w:rsidR="009200BD" w:rsidRPr="00F06D2E" w:rsidRDefault="00067F59" w:rsidP="00BA55EE">
      <w:pPr>
        <w:pStyle w:val="NoSpacing"/>
        <w:spacing w:line="300" w:lineRule="auto"/>
        <w:jc w:val="both"/>
        <w:rPr>
          <w:rFonts w:ascii="Century Gothic" w:hAnsi="Century Gothic"/>
          <w:w w:val="90"/>
          <w:sz w:val="21"/>
          <w:szCs w:val="21"/>
        </w:rPr>
      </w:pPr>
      <w:r>
        <w:rPr>
          <w:noProof/>
          <w:lang w:eastAsia="en-US"/>
        </w:rPr>
        <w:drawing>
          <wp:anchor distT="0" distB="0" distL="114300" distR="114300" simplePos="0" relativeHeight="251693056" behindDoc="0" locked="0" layoutInCell="1" allowOverlap="1">
            <wp:simplePos x="0" y="0"/>
            <wp:positionH relativeFrom="column">
              <wp:posOffset>2419350</wp:posOffset>
            </wp:positionH>
            <wp:positionV relativeFrom="paragraph">
              <wp:posOffset>-635</wp:posOffset>
            </wp:positionV>
            <wp:extent cx="3613785" cy="2543175"/>
            <wp:effectExtent l="0" t="0" r="5715" b="952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785" cy="2543175"/>
                    </a:xfrm>
                    <a:prstGeom prst="rect">
                      <a:avLst/>
                    </a:prstGeom>
                  </pic:spPr>
                </pic:pic>
              </a:graphicData>
            </a:graphic>
          </wp:anchor>
        </w:drawing>
      </w:r>
      <w:r w:rsidR="009200BD" w:rsidRPr="00F06D2E">
        <w:rPr>
          <w:rFonts w:ascii="Century Gothic" w:hAnsi="Century Gothic"/>
          <w:w w:val="90"/>
          <w:sz w:val="21"/>
          <w:szCs w:val="21"/>
        </w:rPr>
        <w:t xml:space="preserve">The figure on the right shows </w:t>
      </w:r>
      <w:r w:rsidR="00C74417" w:rsidRPr="00F06D2E">
        <w:rPr>
          <w:rFonts w:ascii="Century Gothic" w:hAnsi="Century Gothic"/>
          <w:w w:val="90"/>
          <w:sz w:val="21"/>
          <w:szCs w:val="21"/>
        </w:rPr>
        <w:t>nine</w:t>
      </w:r>
      <w:r w:rsidR="009200BD" w:rsidRPr="00F06D2E">
        <w:rPr>
          <w:rFonts w:ascii="Century Gothic" w:hAnsi="Century Gothic"/>
          <w:w w:val="90"/>
          <w:sz w:val="21"/>
          <w:szCs w:val="21"/>
        </w:rPr>
        <w:t>-year trends of diabetes death rates for NM’s racial/ethnic g</w:t>
      </w:r>
      <w:r w:rsidR="00F06D2E" w:rsidRPr="00F06D2E">
        <w:rPr>
          <w:rFonts w:ascii="Century Gothic" w:hAnsi="Century Gothic"/>
          <w:w w:val="90"/>
          <w:sz w:val="21"/>
          <w:szCs w:val="21"/>
        </w:rPr>
        <w:t xml:space="preserve">roups.  Significant differences </w:t>
      </w:r>
      <w:r w:rsidR="009200BD" w:rsidRPr="00F06D2E">
        <w:rPr>
          <w:rFonts w:ascii="Century Gothic" w:hAnsi="Century Gothic"/>
          <w:w w:val="90"/>
          <w:sz w:val="21"/>
          <w:szCs w:val="21"/>
        </w:rPr>
        <w:t xml:space="preserve">remained throughout the </w:t>
      </w:r>
      <w:r w:rsidR="00671D5B" w:rsidRPr="00F06D2E">
        <w:rPr>
          <w:rFonts w:ascii="Century Gothic" w:hAnsi="Century Gothic"/>
          <w:w w:val="90"/>
          <w:sz w:val="21"/>
          <w:szCs w:val="21"/>
        </w:rPr>
        <w:t>nine</w:t>
      </w:r>
      <w:r w:rsidR="009200BD" w:rsidRPr="00F06D2E">
        <w:rPr>
          <w:rFonts w:ascii="Century Gothic" w:hAnsi="Century Gothic"/>
          <w:w w:val="90"/>
          <w:sz w:val="21"/>
          <w:szCs w:val="21"/>
        </w:rPr>
        <w:t xml:space="preserve">-year period. The American Indian/Alaska Native rates remained about four times the White rates and about two times the Hispanic rates. Hispanic rates remained twice that of White rates. These differences </w:t>
      </w:r>
      <w:r w:rsidR="00671D5B" w:rsidRPr="00F06D2E">
        <w:rPr>
          <w:rFonts w:ascii="Century Gothic" w:hAnsi="Century Gothic"/>
          <w:w w:val="90"/>
          <w:sz w:val="21"/>
          <w:szCs w:val="21"/>
        </w:rPr>
        <w:t>ar</w:t>
      </w:r>
      <w:r w:rsidR="009200BD" w:rsidRPr="00F06D2E">
        <w:rPr>
          <w:rFonts w:ascii="Century Gothic" w:hAnsi="Century Gothic"/>
          <w:w w:val="90"/>
          <w:sz w:val="21"/>
          <w:szCs w:val="21"/>
        </w:rPr>
        <w:t>e statistically significant. From 2005 to 2013, a total of 5,498 diabetes deaths occurred, with a yearly average of 611 deaths. There were 2</w:t>
      </w:r>
      <w:r w:rsidR="00A95921">
        <w:rPr>
          <w:rFonts w:ascii="Century Gothic" w:hAnsi="Century Gothic"/>
          <w:w w:val="90"/>
          <w:sz w:val="21"/>
          <w:szCs w:val="21"/>
        </w:rPr>
        <w:t>,</w:t>
      </w:r>
      <w:r w:rsidR="009200BD" w:rsidRPr="00F06D2E">
        <w:rPr>
          <w:rFonts w:ascii="Century Gothic" w:hAnsi="Century Gothic"/>
          <w:w w:val="90"/>
          <w:sz w:val="21"/>
          <w:szCs w:val="21"/>
        </w:rPr>
        <w:t>399 Hispanic, 2</w:t>
      </w:r>
      <w:r w:rsidR="00A95921">
        <w:rPr>
          <w:rFonts w:ascii="Century Gothic" w:hAnsi="Century Gothic"/>
          <w:w w:val="90"/>
          <w:sz w:val="21"/>
          <w:szCs w:val="21"/>
        </w:rPr>
        <w:t>,</w:t>
      </w:r>
      <w:r w:rsidR="009200BD" w:rsidRPr="00F06D2E">
        <w:rPr>
          <w:rFonts w:ascii="Century Gothic" w:hAnsi="Century Gothic"/>
          <w:w w:val="90"/>
          <w:sz w:val="21"/>
          <w:szCs w:val="21"/>
        </w:rPr>
        <w:t>141 White, 771 American Indian, 133 Black, and 46 Asian/Pacific Islander diabetes deaths.</w:t>
      </w:r>
    </w:p>
    <w:p w:rsidR="009200BD" w:rsidRPr="009200BD" w:rsidRDefault="009200BD" w:rsidP="009200BD">
      <w:pPr>
        <w:pStyle w:val="Heading1"/>
        <w:rPr>
          <w:rFonts w:ascii="Century Gothic" w:hAnsi="Century Gothic"/>
          <w:color w:val="B01513"/>
        </w:rPr>
      </w:pPr>
      <w:r w:rsidRPr="009200BD">
        <w:rPr>
          <w:rFonts w:ascii="Century Gothic" w:hAnsi="Century Gothic"/>
          <w:color w:val="B01513"/>
        </w:rPr>
        <w:t xml:space="preserve">What Works to Prevent or Delay Diabetes </w:t>
      </w:r>
    </w:p>
    <w:p w:rsidR="009200BD" w:rsidRPr="009200BD" w:rsidRDefault="009200BD" w:rsidP="00BA55EE">
      <w:pPr>
        <w:pStyle w:val="NoSpacing"/>
        <w:spacing w:line="300" w:lineRule="auto"/>
        <w:jc w:val="both"/>
        <w:rPr>
          <w:rFonts w:ascii="Century Gothic" w:hAnsi="Century Gothic"/>
          <w:sz w:val="21"/>
          <w:szCs w:val="21"/>
        </w:rPr>
      </w:pPr>
      <w:r w:rsidRPr="009200BD">
        <w:rPr>
          <w:rFonts w:ascii="Century Gothic" w:hAnsi="Century Gothic"/>
          <w:sz w:val="21"/>
          <w:szCs w:val="21"/>
        </w:rPr>
        <w:t>People at high risk for diabetes, including those with prediabetes, may prevent or delay the onset of diabetes by losing a modest amount of weight (5-7% of body weight), increasing physical activity (at least 150 minutes per week) and adopting a healthier diet. The National Diabetes Prevention Program (</w:t>
      </w:r>
      <w:hyperlink r:id="rId9" w:history="1">
        <w:r w:rsidRPr="00BA55EE">
          <w:rPr>
            <w:rFonts w:ascii="Century Gothic" w:hAnsi="Century Gothic"/>
            <w:sz w:val="21"/>
            <w:szCs w:val="21"/>
          </w:rPr>
          <w:t>www.cdc.gov/diabetes/prevention</w:t>
        </w:r>
      </w:hyperlink>
      <w:r w:rsidRPr="009200BD">
        <w:rPr>
          <w:rFonts w:ascii="Century Gothic" w:hAnsi="Century Gothic"/>
          <w:sz w:val="21"/>
          <w:szCs w:val="21"/>
        </w:rPr>
        <w:t xml:space="preserve">) is a proven intervention to help people at high risk for diabetes achieve these lifestyle changes and is being implemented throughout the US and NM. </w:t>
      </w:r>
    </w:p>
    <w:p w:rsidR="009200BD" w:rsidRPr="009200BD" w:rsidRDefault="009200BD" w:rsidP="009200BD">
      <w:pPr>
        <w:pStyle w:val="Heading1"/>
        <w:rPr>
          <w:rFonts w:ascii="Century Gothic" w:hAnsi="Century Gothic"/>
          <w:color w:val="B01513"/>
        </w:rPr>
      </w:pPr>
      <w:r w:rsidRPr="009200BD">
        <w:rPr>
          <w:rFonts w:ascii="Century Gothic" w:hAnsi="Century Gothic"/>
          <w:color w:val="B01513"/>
        </w:rPr>
        <w:t>Prediabetes and Diabetes: Other Significant Factors</w:t>
      </w:r>
    </w:p>
    <w:p w:rsidR="00B94A45" w:rsidRDefault="009200BD" w:rsidP="00BA55EE">
      <w:pPr>
        <w:pStyle w:val="NoSpacing"/>
        <w:spacing w:line="300" w:lineRule="auto"/>
        <w:jc w:val="both"/>
        <w:rPr>
          <w:rFonts w:ascii="Century Gothic" w:hAnsi="Century Gothic"/>
          <w:sz w:val="21"/>
          <w:szCs w:val="21"/>
        </w:rPr>
      </w:pPr>
      <w:r w:rsidRPr="002666E9">
        <w:rPr>
          <w:rFonts w:ascii="Century Gothic" w:hAnsi="Century Gothic"/>
          <w:sz w:val="21"/>
          <w:szCs w:val="21"/>
        </w:rPr>
        <w:t xml:space="preserve">Smoking can increase blood pressure, decrease levels of good cholesterol (HDL), and increase insulin resistance; smoking </w:t>
      </w:r>
      <w:r w:rsidR="00FC682A">
        <w:rPr>
          <w:rFonts w:ascii="Century Gothic" w:hAnsi="Century Gothic"/>
          <w:sz w:val="21"/>
          <w:szCs w:val="21"/>
        </w:rPr>
        <w:t>al</w:t>
      </w:r>
      <w:r w:rsidRPr="002666E9">
        <w:rPr>
          <w:rFonts w:ascii="Century Gothic" w:hAnsi="Century Gothic"/>
          <w:sz w:val="21"/>
          <w:szCs w:val="21"/>
        </w:rPr>
        <w:t>so play</w:t>
      </w:r>
      <w:r w:rsidR="00FC682A">
        <w:rPr>
          <w:rFonts w:ascii="Century Gothic" w:hAnsi="Century Gothic"/>
          <w:sz w:val="21"/>
          <w:szCs w:val="21"/>
        </w:rPr>
        <w:t>s</w:t>
      </w:r>
      <w:r w:rsidRPr="002666E9">
        <w:rPr>
          <w:rFonts w:ascii="Century Gothic" w:hAnsi="Century Gothic"/>
          <w:sz w:val="21"/>
          <w:szCs w:val="21"/>
        </w:rPr>
        <w:t xml:space="preserve"> a role in the development of type 2 diabetes. Smoking further raises the already higher risk of heart disease or stroke in adults with prediabetes or diabetes. According to the BRFSS,</w:t>
      </w:r>
      <w:r w:rsidR="002666E9" w:rsidRPr="002666E9">
        <w:rPr>
          <w:rFonts w:ascii="Century Gothic" w:hAnsi="Century Gothic"/>
          <w:sz w:val="21"/>
          <w:szCs w:val="21"/>
        </w:rPr>
        <w:t xml:space="preserve"> in 2012-13, 19.2</w:t>
      </w:r>
      <w:r w:rsidRPr="002666E9">
        <w:rPr>
          <w:rFonts w:ascii="Century Gothic" w:hAnsi="Century Gothic"/>
          <w:sz w:val="21"/>
          <w:szCs w:val="21"/>
        </w:rPr>
        <w:t>% of NM adults currently smoke</w:t>
      </w:r>
      <w:r w:rsidR="00A95921">
        <w:rPr>
          <w:rFonts w:ascii="Century Gothic" w:hAnsi="Century Gothic"/>
          <w:sz w:val="21"/>
          <w:szCs w:val="21"/>
        </w:rPr>
        <w:t>d</w:t>
      </w:r>
      <w:r w:rsidRPr="002666E9">
        <w:rPr>
          <w:rFonts w:ascii="Century Gothic" w:hAnsi="Century Gothic"/>
          <w:sz w:val="21"/>
          <w:szCs w:val="21"/>
        </w:rPr>
        <w:t xml:space="preserve">. Among NM adults with prediabetes, </w:t>
      </w:r>
      <w:r w:rsidR="002666E9" w:rsidRPr="002666E9">
        <w:rPr>
          <w:rFonts w:ascii="Century Gothic" w:hAnsi="Century Gothic"/>
          <w:sz w:val="21"/>
          <w:szCs w:val="21"/>
        </w:rPr>
        <w:t>23.1</w:t>
      </w:r>
      <w:r w:rsidRPr="002666E9">
        <w:rPr>
          <w:rFonts w:ascii="Century Gothic" w:hAnsi="Century Gothic"/>
          <w:sz w:val="21"/>
          <w:szCs w:val="21"/>
        </w:rPr>
        <w:t>% smoke</w:t>
      </w:r>
      <w:r w:rsidR="00A95921">
        <w:rPr>
          <w:rFonts w:ascii="Century Gothic" w:hAnsi="Century Gothic"/>
          <w:sz w:val="21"/>
          <w:szCs w:val="21"/>
        </w:rPr>
        <w:t>d</w:t>
      </w:r>
      <w:r w:rsidRPr="002666E9">
        <w:rPr>
          <w:rFonts w:ascii="Century Gothic" w:hAnsi="Century Gothic"/>
          <w:sz w:val="21"/>
          <w:szCs w:val="21"/>
        </w:rPr>
        <w:t xml:space="preserve"> and among adults with diabetes, </w:t>
      </w:r>
      <w:r w:rsidR="002666E9" w:rsidRPr="002666E9">
        <w:rPr>
          <w:rFonts w:ascii="Century Gothic" w:hAnsi="Century Gothic"/>
          <w:sz w:val="21"/>
          <w:szCs w:val="21"/>
        </w:rPr>
        <w:t>23.9</w:t>
      </w:r>
      <w:r w:rsidRPr="002666E9">
        <w:rPr>
          <w:rFonts w:ascii="Century Gothic" w:hAnsi="Century Gothic"/>
          <w:sz w:val="21"/>
          <w:szCs w:val="21"/>
        </w:rPr>
        <w:t>% smoke</w:t>
      </w:r>
      <w:r w:rsidR="00A95921">
        <w:rPr>
          <w:rFonts w:ascii="Century Gothic" w:hAnsi="Century Gothic"/>
          <w:sz w:val="21"/>
          <w:szCs w:val="21"/>
        </w:rPr>
        <w:t>d</w:t>
      </w:r>
      <w:r w:rsidRPr="002666E9">
        <w:rPr>
          <w:rFonts w:ascii="Century Gothic" w:hAnsi="Century Gothic"/>
          <w:sz w:val="21"/>
          <w:szCs w:val="21"/>
        </w:rPr>
        <w:t xml:space="preserve">. </w:t>
      </w:r>
      <w:r w:rsidR="00745CB8">
        <w:rPr>
          <w:rFonts w:ascii="Century Gothic" w:hAnsi="Century Gothic"/>
          <w:sz w:val="21"/>
          <w:szCs w:val="21"/>
        </w:rPr>
        <w:t>These</w:t>
      </w:r>
      <w:r w:rsidRPr="002666E9">
        <w:rPr>
          <w:rFonts w:ascii="Century Gothic" w:hAnsi="Century Gothic"/>
          <w:sz w:val="21"/>
          <w:szCs w:val="21"/>
        </w:rPr>
        <w:t xml:space="preserve"> </w:t>
      </w:r>
      <w:r w:rsidR="002666E9">
        <w:rPr>
          <w:rFonts w:ascii="Century Gothic" w:hAnsi="Century Gothic"/>
          <w:sz w:val="21"/>
          <w:szCs w:val="21"/>
        </w:rPr>
        <w:t>rates are statistically similar, that is, all three groups had similar rates of smoking</w:t>
      </w:r>
      <w:r w:rsidR="00B94A45">
        <w:rPr>
          <w:rFonts w:ascii="Century Gothic" w:hAnsi="Century Gothic"/>
          <w:sz w:val="21"/>
          <w:szCs w:val="21"/>
        </w:rPr>
        <w:t>.</w:t>
      </w:r>
    </w:p>
    <w:p w:rsidR="00F06D2E" w:rsidRDefault="00F06D2E" w:rsidP="00BA55EE">
      <w:pPr>
        <w:pStyle w:val="NoSpacing"/>
        <w:spacing w:line="300" w:lineRule="auto"/>
        <w:jc w:val="both"/>
        <w:rPr>
          <w:rFonts w:ascii="Century Gothic" w:hAnsi="Century Gothic"/>
          <w:sz w:val="21"/>
          <w:szCs w:val="21"/>
        </w:rPr>
      </w:pPr>
    </w:p>
    <w:p w:rsidR="007F7108" w:rsidRPr="007F7108" w:rsidRDefault="007F7108" w:rsidP="00BA55EE">
      <w:pPr>
        <w:pStyle w:val="NoSpacing"/>
        <w:spacing w:line="300" w:lineRule="auto"/>
        <w:jc w:val="both"/>
        <w:rPr>
          <w:rFonts w:ascii="Century Gothic" w:hAnsi="Century Gothic"/>
          <w:sz w:val="21"/>
          <w:szCs w:val="21"/>
        </w:rPr>
      </w:pPr>
      <w:r w:rsidRPr="007F7108">
        <w:rPr>
          <w:rFonts w:ascii="Century Gothic" w:hAnsi="Century Gothic"/>
          <w:sz w:val="21"/>
          <w:szCs w:val="21"/>
        </w:rPr>
        <w:lastRenderedPageBreak/>
        <w:t xml:space="preserve">Prediabetes and diabetes are often undiagnosed. Telephone surveys capture only those who report having been diagnosed with these conditions, and these groups are small compared to the groups whose prediabetes or diabetes have not been diagnosed.  </w:t>
      </w:r>
    </w:p>
    <w:p w:rsidR="00625569" w:rsidRDefault="001715A3" w:rsidP="008A79D1">
      <w:pPr>
        <w:pStyle w:val="NoSpacing"/>
        <w:jc w:val="both"/>
        <w:rPr>
          <w:rFonts w:ascii="Century Gothic" w:hAnsi="Century Gothic"/>
          <w:sz w:val="21"/>
          <w:szCs w:val="21"/>
        </w:rPr>
      </w:pPr>
      <w:r>
        <w:rPr>
          <w:noProof/>
          <w:lang w:eastAsia="en-US"/>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168275</wp:posOffset>
                </wp:positionV>
                <wp:extent cx="2707640" cy="2800350"/>
                <wp:effectExtent l="0" t="0" r="16510"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7640" cy="2800350"/>
                        </a:xfrm>
                        <a:prstGeom prst="rect">
                          <a:avLst/>
                        </a:prstGeom>
                        <a:gradFill>
                          <a:gsLst>
                            <a:gs pos="0">
                              <a:schemeClr val="accent5">
                                <a:lumMod val="5000"/>
                                <a:lumOff val="95000"/>
                              </a:schemeClr>
                            </a:gs>
                            <a:gs pos="49000">
                              <a:srgbClr val="F3FB85"/>
                            </a:gs>
                            <a:gs pos="84000">
                              <a:srgbClr val="FBF882"/>
                            </a:gs>
                            <a:gs pos="100000">
                              <a:srgbClr val="F6F11A"/>
                            </a:gs>
                          </a:gsLst>
                          <a:lin ang="5400000" scaled="1"/>
                        </a:gradFill>
                        <a:ln w="12700" cmpd="thinThick">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42664" id="Rectangle 5" o:spid="_x0000_s1026" style="position:absolute;margin-left:162pt;margin-top:13.25pt;width:213.2pt;height:22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" fillcolor="#fff8f4 [184]" strokecolor="#34ab8a [2407]" strokeweight="1pt">
                <v:fill color2="#f6f11a" colors="0 #fff9f4;32113f #f3fb85;55050f #fbf882;1 #f6f11a" focus="100%" type="gradient"/>
                <v:stroke linestyle="thinThick"/>
                <v:path arrowok="t"/>
                <w10:wrap type="square" anchorx="margin"/>
              </v:rect>
            </w:pict>
          </mc:Fallback>
        </mc:AlternateContent>
      </w:r>
    </w:p>
    <w:p w:rsidR="000540FD" w:rsidRPr="002551F4" w:rsidRDefault="00A95921" w:rsidP="00BA55EE">
      <w:pPr>
        <w:pStyle w:val="NoSpacing"/>
        <w:spacing w:line="300" w:lineRule="auto"/>
        <w:jc w:val="both"/>
        <w:rPr>
          <w:rFonts w:ascii="Century Gothic" w:hAnsi="Century Gothic"/>
          <w:sz w:val="21"/>
          <w:szCs w:val="21"/>
        </w:rPr>
      </w:pPr>
      <w:r w:rsidRPr="002551F4">
        <w:rPr>
          <w:rFonts w:ascii="Century Gothic" w:hAnsi="Century Gothic"/>
          <w:sz w:val="21"/>
          <w:szCs w:val="21"/>
        </w:rPr>
        <w:t xml:space="preserve">Data from the National Health and Nutrition Examination Survey (2009-2012), which identifies people with both diagnosed and undiagnosed prediabetes, show that about 37% of US adults ages 20 and older actually have prediabetes.  Based on this estimate, in 2012-13 about 558,760 NM adults 20 years and older </w:t>
      </w:r>
      <w:r w:rsidR="002551F4" w:rsidRPr="002551F4">
        <w:rPr>
          <w:rFonts w:ascii="Century Gothic" w:hAnsi="Century Gothic"/>
          <w:sz w:val="21"/>
          <w:szCs w:val="21"/>
        </w:rPr>
        <w:t>-</w:t>
      </w:r>
      <w:r w:rsidRPr="002551F4">
        <w:rPr>
          <w:rFonts w:ascii="Century Gothic" w:hAnsi="Century Gothic"/>
          <w:sz w:val="21"/>
          <w:szCs w:val="21"/>
        </w:rPr>
        <w:t xml:space="preserve">- 1 in 3 </w:t>
      </w:r>
      <w:r w:rsidR="002551F4" w:rsidRPr="002551F4">
        <w:rPr>
          <w:rFonts w:ascii="Century Gothic" w:hAnsi="Century Gothic"/>
          <w:sz w:val="21"/>
          <w:szCs w:val="21"/>
        </w:rPr>
        <w:t>-</w:t>
      </w:r>
      <w:r w:rsidRPr="002551F4">
        <w:rPr>
          <w:rFonts w:ascii="Century Gothic" w:hAnsi="Century Gothic"/>
          <w:sz w:val="21"/>
          <w:szCs w:val="21"/>
        </w:rPr>
        <w:t>- had prediabetes, most without knowing it.</w:t>
      </w:r>
      <w:r w:rsidR="001715A3">
        <w:rPr>
          <w:noProof/>
          <w:lang w:eastAsia="en-US"/>
        </w:rPr>
        <mc:AlternateContent>
          <mc:Choice Requires="wpg">
            <w:drawing>
              <wp:anchor distT="0" distB="0" distL="114300" distR="114300" simplePos="0" relativeHeight="251674624" behindDoc="0" locked="0" layoutInCell="1" allowOverlap="1">
                <wp:simplePos x="0" y="0"/>
                <wp:positionH relativeFrom="column">
                  <wp:posOffset>3238500</wp:posOffset>
                </wp:positionH>
                <wp:positionV relativeFrom="paragraph">
                  <wp:posOffset>42545</wp:posOffset>
                </wp:positionV>
                <wp:extent cx="2707640" cy="2451100"/>
                <wp:effectExtent l="0" t="0" r="0" b="101600"/>
                <wp:wrapSquare wrapText="bothSides"/>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640" cy="2451100"/>
                          <a:chOff x="0" y="0"/>
                          <a:chExt cx="2651760" cy="2451100"/>
                        </a:xfrm>
                      </wpg:grpSpPr>
                      <wps:wsp>
                        <wps:cNvPr id="6" name="Text Box 6"/>
                        <wps:cNvSpPr txBox="1"/>
                        <wps:spPr>
                          <a:xfrm>
                            <a:off x="0" y="0"/>
                            <a:ext cx="2651760"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31B" w:rsidRPr="0045263C" w:rsidRDefault="00E5531B" w:rsidP="00E5531B">
                              <w:pPr>
                                <w:jc w:val="center"/>
                                <w:rPr>
                                  <w:rFonts w:ascii="Berlin Sans FB" w:hAnsi="Berlin Sans FB"/>
                                  <w:color w:val="262626" w:themeColor="text1" w:themeTint="D9"/>
                                  <w:sz w:val="28"/>
                                  <w:szCs w:val="32"/>
                                </w:rPr>
                              </w:pPr>
                              <w:r w:rsidRPr="0045263C">
                                <w:rPr>
                                  <w:rFonts w:ascii="Berlin Sans FB" w:hAnsi="Berlin Sans FB"/>
                                  <w:color w:val="262626" w:themeColor="text1" w:themeTint="D9"/>
                                  <w:sz w:val="28"/>
                                  <w:szCs w:val="32"/>
                                </w:rPr>
                                <w:t>Prediabetes in NM:</w:t>
                              </w:r>
                            </w:p>
                            <w:p w:rsidR="00E5531B" w:rsidRPr="00A5674B" w:rsidRDefault="00E5531B" w:rsidP="00E5531B">
                              <w:pPr>
                                <w:jc w:val="center"/>
                                <w:rPr>
                                  <w:rFonts w:ascii="Berlin Sans FB" w:hAnsi="Berlin Sans FB"/>
                                  <w:sz w:val="32"/>
                                  <w:szCs w:val="30"/>
                                  <w:u w:val="single"/>
                                </w:rPr>
                              </w:pPr>
                              <w:r w:rsidRPr="00A5674B">
                                <w:rPr>
                                  <w:rFonts w:ascii="Berlin Sans FB" w:hAnsi="Berlin Sans FB"/>
                                  <w:color w:val="262626" w:themeColor="text1" w:themeTint="D9"/>
                                  <w:sz w:val="32"/>
                                  <w:szCs w:val="30"/>
                                  <w:u w:val="single"/>
                                </w:rPr>
                                <w:t>1 in 3 Adults</w:t>
                              </w:r>
                              <w:r w:rsidR="00A95921">
                                <w:rPr>
                                  <w:rFonts w:ascii="Berlin Sans FB" w:hAnsi="Berlin Sans FB"/>
                                  <w:color w:val="262626" w:themeColor="text1" w:themeTint="D9"/>
                                  <w:sz w:val="32"/>
                                  <w:szCs w:val="30"/>
                                  <w:u w:val="single"/>
                                </w:rPr>
                                <w:t xml:space="preserve"> </w:t>
                              </w:r>
                              <w:r w:rsidRPr="00A5674B">
                                <w:rPr>
                                  <w:rFonts w:ascii="Berlin Sans FB" w:hAnsi="Berlin Sans FB"/>
                                  <w:color w:val="262626" w:themeColor="text1" w:themeTint="D9"/>
                                  <w:sz w:val="32"/>
                                  <w:szCs w:val="30"/>
                                  <w:u w:val="single"/>
                                </w:rPr>
                                <w:t>=</w:t>
                              </w:r>
                              <w:r w:rsidR="00A95921">
                                <w:rPr>
                                  <w:rFonts w:ascii="Berlin Sans FB" w:hAnsi="Berlin Sans FB"/>
                                  <w:color w:val="262626" w:themeColor="text1" w:themeTint="D9"/>
                                  <w:sz w:val="32"/>
                                  <w:szCs w:val="30"/>
                                  <w:u w:val="single"/>
                                </w:rPr>
                                <w:t xml:space="preserve"> </w:t>
                              </w:r>
                              <w:r w:rsidRPr="00A5674B">
                                <w:rPr>
                                  <w:rFonts w:ascii="Berlin Sans FB" w:hAnsi="Berlin Sans FB"/>
                                  <w:color w:val="FF0000"/>
                                  <w:sz w:val="36"/>
                                  <w:szCs w:val="30"/>
                                  <w:u w:val="single"/>
                                </w:rPr>
                                <w:t>558,760</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s:wsp>
                        <wps:cNvPr id="7" name="Elbow Connector 7"/>
                        <wps:cNvCnPr/>
                        <wps:spPr>
                          <a:xfrm flipH="1">
                            <a:off x="1524000" y="714375"/>
                            <a:ext cx="685800" cy="1704975"/>
                          </a:xfrm>
                          <a:prstGeom prst="bentConnector3">
                            <a:avLst>
                              <a:gd name="adj1" fmla="val 551"/>
                            </a:avLst>
                          </a:prstGeom>
                          <a:solidFill>
                            <a:schemeClr val="accent2">
                              <a:lumMod val="20000"/>
                              <a:lumOff val="80000"/>
                            </a:schemeClr>
                          </a:solidFill>
                          <a:ln>
                            <a:solidFill>
                              <a:schemeClr val="accent1">
                                <a:lumMod val="60000"/>
                                <a:lumOff val="40000"/>
                              </a:schemeClr>
                            </a:solidFill>
                            <a:headEnd type="none" w="sm" len="sm"/>
                            <a:tailEnd type="oval"/>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504825" y="923925"/>
                            <a:ext cx="1034401" cy="1527175"/>
                            <a:chOff x="-28586" y="-66675"/>
                            <a:chExt cx="1034840" cy="1527175"/>
                          </a:xfrm>
                        </wpg:grpSpPr>
                        <pic:pic xmlns:pic="http://schemas.openxmlformats.org/drawingml/2006/picture">
                          <pic:nvPicPr>
                            <pic:cNvPr id="11" name="Picture 11"/>
                            <pic:cNvPicPr>
                              <a:picLocks noChangeAspect="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28586" y="-66675"/>
                              <a:ext cx="556272" cy="1069975"/>
                            </a:xfrm>
                            <a:prstGeom prst="rect">
                              <a:avLst/>
                            </a:prstGeom>
                            <a:noFill/>
                            <a:ln>
                              <a:noFill/>
                            </a:ln>
                            <a:effectLst>
                              <a:outerShdw blurRad="50800" dist="38100" dir="8100000" algn="tr" rotWithShape="0">
                                <a:schemeClr val="tx2">
                                  <a:lumMod val="40000"/>
                                  <a:lumOff val="60000"/>
                                  <a:alpha val="60000"/>
                                </a:schemeClr>
                              </a:outerShdw>
                            </a:effectLst>
                          </pic:spPr>
                        </pic:pic>
                        <pic:pic xmlns:pic="http://schemas.openxmlformats.org/drawingml/2006/picture">
                          <pic:nvPicPr>
                            <pic:cNvPr id="13" name="Picture 13"/>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447652" y="400050"/>
                              <a:ext cx="558602" cy="1060450"/>
                            </a:xfrm>
                            <a:prstGeom prst="rect">
                              <a:avLst/>
                            </a:prstGeom>
                            <a:noFill/>
                            <a:ln>
                              <a:noFill/>
                              <a:prstDash val="dashDot"/>
                            </a:ln>
                            <a:effectLst>
                              <a:outerShdw blurRad="50800" dist="38100" dir="2700000" algn="tl" rotWithShape="0">
                                <a:schemeClr val="accent6">
                                  <a:lumMod val="60000"/>
                                  <a:lumOff val="40000"/>
                                  <a:alpha val="80000"/>
                                </a:schemeClr>
                              </a:outerShdw>
                            </a:effectLst>
                          </pic:spPr>
                        </pic:pic>
                      </wpg:grpSp>
                    </wpg:wgp>
                  </a:graphicData>
                </a:graphic>
                <wp14:sizeRelH relativeFrom="page">
                  <wp14:pctWidth>0</wp14:pctWidth>
                </wp14:sizeRelH>
                <wp14:sizeRelV relativeFrom="page">
                  <wp14:pctHeight>0</wp14:pctHeight>
                </wp14:sizeRelV>
              </wp:anchor>
            </w:drawing>
          </mc:Choice>
          <mc:Fallback>
            <w:pict>
              <v:group id="Group 29" o:spid="_x0000_s1027" style="position:absolute;left:0;text-align:left;margin-left:255pt;margin-top:3.35pt;width:213.2pt;height:193pt;z-index:251674624" coordsize="26517,2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">
                <v:shape id="Text Box 6" o:spid="_x0000_s1028" type="#_x0000_t202" style="position:absolute;width:26517;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rX8MA&#10;AADaAAAADwAAAGRycy9kb3ducmV2LnhtbESPQWvCQBSE74X+h+UVehHdVKit0U2wFqGeSlU8P7PP&#10;bDT7NmZXTf99VxB6HGbmG2aad7YWF2p95VjByyABQVw4XXGpYLNe9N9B+ICssXZMCn7JQ549Pkwx&#10;1e7KP3RZhVJECPsUFZgQmlRKXxiy6AeuIY7e3rUWQ5RtKXWL1wi3tRwmyUharDguGGxobqg4rs5W&#10;wfd23NjP3isNkarTWn/szPLwptTzUzebgAjUhf/wvf2lFYzgd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yrX8MAAADaAAAADwAAAAAAAAAAAAAAAACYAgAAZHJzL2Rv&#10;d25yZXYueG1sUEsFBgAAAAAEAAQA9QAAAIgDAAAAAA==&#10;" filled="f" stroked="f" strokeweight=".5pt">
                  <v:textbox inset=",7.2pt,,7.2pt">
                    <w:txbxContent>
                      <w:p w:rsidR="00E5531B" w:rsidRPr="0045263C" w:rsidRDefault="00E5531B" w:rsidP="00E5531B">
                        <w:pPr>
                          <w:jc w:val="center"/>
                          <w:rPr>
                            <w:rFonts w:ascii="Berlin Sans FB" w:hAnsi="Berlin Sans FB"/>
                            <w:color w:val="262626" w:themeColor="text1" w:themeTint="D9"/>
                            <w:sz w:val="28"/>
                            <w:szCs w:val="32"/>
                          </w:rPr>
                        </w:pPr>
                        <w:r w:rsidRPr="0045263C">
                          <w:rPr>
                            <w:rFonts w:ascii="Berlin Sans FB" w:hAnsi="Berlin Sans FB"/>
                            <w:color w:val="262626" w:themeColor="text1" w:themeTint="D9"/>
                            <w:sz w:val="28"/>
                            <w:szCs w:val="32"/>
                          </w:rPr>
                          <w:t>Prediabetes in NM:</w:t>
                        </w:r>
                      </w:p>
                      <w:p w:rsidR="00E5531B" w:rsidRPr="00A5674B" w:rsidRDefault="00E5531B" w:rsidP="00E5531B">
                        <w:pPr>
                          <w:jc w:val="center"/>
                          <w:rPr>
                            <w:rFonts w:ascii="Berlin Sans FB" w:hAnsi="Berlin Sans FB"/>
                            <w:sz w:val="32"/>
                            <w:szCs w:val="30"/>
                            <w:u w:val="single"/>
                          </w:rPr>
                        </w:pPr>
                        <w:r w:rsidRPr="00A5674B">
                          <w:rPr>
                            <w:rFonts w:ascii="Berlin Sans FB" w:hAnsi="Berlin Sans FB"/>
                            <w:color w:val="262626" w:themeColor="text1" w:themeTint="D9"/>
                            <w:sz w:val="32"/>
                            <w:szCs w:val="30"/>
                            <w:u w:val="single"/>
                          </w:rPr>
                          <w:t>1 in 3 Adults</w:t>
                        </w:r>
                        <w:r w:rsidR="00A95921">
                          <w:rPr>
                            <w:rFonts w:ascii="Berlin Sans FB" w:hAnsi="Berlin Sans FB"/>
                            <w:color w:val="262626" w:themeColor="text1" w:themeTint="D9"/>
                            <w:sz w:val="32"/>
                            <w:szCs w:val="30"/>
                            <w:u w:val="single"/>
                          </w:rPr>
                          <w:t xml:space="preserve"> </w:t>
                        </w:r>
                        <w:r w:rsidRPr="00A5674B">
                          <w:rPr>
                            <w:rFonts w:ascii="Berlin Sans FB" w:hAnsi="Berlin Sans FB"/>
                            <w:color w:val="262626" w:themeColor="text1" w:themeTint="D9"/>
                            <w:sz w:val="32"/>
                            <w:szCs w:val="30"/>
                            <w:u w:val="single"/>
                          </w:rPr>
                          <w:t>=</w:t>
                        </w:r>
                        <w:r w:rsidR="00A95921">
                          <w:rPr>
                            <w:rFonts w:ascii="Berlin Sans FB" w:hAnsi="Berlin Sans FB"/>
                            <w:color w:val="262626" w:themeColor="text1" w:themeTint="D9"/>
                            <w:sz w:val="32"/>
                            <w:szCs w:val="30"/>
                            <w:u w:val="single"/>
                          </w:rPr>
                          <w:t xml:space="preserve"> </w:t>
                        </w:r>
                        <w:r w:rsidRPr="00A5674B">
                          <w:rPr>
                            <w:rFonts w:ascii="Berlin Sans FB" w:hAnsi="Berlin Sans FB"/>
                            <w:color w:val="FF0000"/>
                            <w:sz w:val="36"/>
                            <w:szCs w:val="30"/>
                            <w:u w:val="single"/>
                          </w:rPr>
                          <w:t>558,760</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9" type="#_x0000_t34" style="position:absolute;left:15240;top:7143;width:6858;height:1705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32MIAAADaAAAADwAAAGRycy9kb3ducmV2LnhtbESPT4vCMBTE74LfITxhb5q6B/9U0yLK&#10;yh7Ww6qIx0fzbKvNS2mi7X57Iyx4HGbmN8wy7UwlHtS40rKC8SgCQZxZXXKu4Hj4Gs5AOI+ssbJM&#10;Cv7IQZr0e0uMtW35lx57n4sAYRejgsL7OpbSZQUZdCNbEwfvYhuDPsgml7rBNsBNJT+jaCINlhwW&#10;CqxpXVB229+NAt1l1ztvtj9nWeKK8nZ+2sx2Sn0MutUChKfOv8P/7W+tYAqvK+EGyO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e32MIAAADaAAAADwAAAAAAAAAAAAAA&#10;AAChAgAAZHJzL2Rvd25yZXYueG1sUEsFBgAAAAAEAAQA+QAAAJADAAAAAA==&#10;" adj="119" filled="t" fillcolor="#def4fc [661]" strokecolor="#94a3de [1940]" strokeweight=".5pt">
                  <v:stroke startarrowwidth="narrow" startarrowlength="short" endarrow="oval"/>
                </v:shape>
                <v:group id="Group 9" o:spid="_x0000_s1030" style="position:absolute;left:5048;top:9239;width:10344;height:15272" coordorigin="-285,-666" coordsize="10348,15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285;top:-666;width:5561;height:10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TFiLCAAAA2wAAAA8AAABkcnMvZG93bnJldi54bWxET0trAjEQvgv9D2EKXkSzeihlNYoWBLGn&#10;+ij1NmzG7OJmsk2ibv31Rih4m4/vOZNZa2txIR8qxwqGgwwEceF0xUbBbrvsv4MIEVlj7ZgU/FGA&#10;2fSlM8Fcuyt/0WUTjUghHHJUUMbY5FKGoiSLYeAa4sQdnbcYE/RGao/XFG5rOcqyN2mx4tRQYkMf&#10;JRWnzdkq+P3sLeShYr82t5E9/5j94rvYK9V9bedjEJHa+BT/u1c6zR/C45d0gJ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0xYiwgAAANsAAAAPAAAAAAAAAAAAAAAAAJ8C&#10;AABkcnMvZG93bnJldi54bWxQSwUGAAAAAAQABAD3AAAAjgMAAAAA&#10;">
                    <v:imagedata r:id="rId12" o:title="" recolortarget="#0c6bb3 [1454]"/>
                    <v:shadow on="t" color="#9099ca [1311]" opacity="39321f" origin=".5,-.5" offset="-.74836mm,.74836mm"/>
                    <v:path arrowok="t"/>
                  </v:shape>
                  <v:shape id="Picture 13" o:spid="_x0000_s1032" type="#_x0000_t75" style="position:absolute;left:4476;top:4000;width:5586;height:10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1xArBAAAA2wAAAA8AAABkcnMvZG93bnJldi54bWxET01rAjEQvRf8D2EEbzWr0qKrUURQPFRo&#10;VRBvQzJuFjeTZRN1/femUOhtHu9zZovWVeJOTSg9Kxj0MxDE2puSCwXHw/p9DCJEZIOVZ1LwpACL&#10;eedthrnxD/6h+z4WIoVwyFGBjbHOpQzaksPQ9zVx4i6+cRgTbAppGnykcFfJYZZ9SoclpwaLNa0s&#10;6ev+5hR8f+DXxh7CMoun80Rf1+NiN9JK9brtcgoiUhv/xX/urUnzR/D7SzpAz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1xArBAAAA2wAAAA8AAAAAAAAAAAAAAAAAnwIA&#10;AGRycy9kb3ducmV2LnhtbFBLBQYAAAAABAAEAPcAAACNAwAAAAA=&#10;">
                    <v:stroke dashstyle="dashDot"/>
                    <v:imagedata r:id="rId13" o:title="" recolortarget="#803600 [1448]"/>
                    <v:shadow on="t" color="#f68c7b [1945]" opacity="52428f" origin="-.5,-.5" offset=".74836mm,.74836mm"/>
                    <v:path arrowok="t"/>
                  </v:shape>
                </v:group>
                <w10:wrap type="square"/>
              </v:group>
            </w:pict>
          </mc:Fallback>
        </mc:AlternateContent>
      </w:r>
      <w:r w:rsidR="001715A3">
        <w:rPr>
          <w:noProof/>
          <w:lang w:eastAsia="en-US"/>
        </w:rPr>
        <mc:AlternateContent>
          <mc:Choice Requires="wps">
            <w:drawing>
              <wp:anchor distT="0" distB="0" distL="114300" distR="114300" simplePos="0" relativeHeight="251692032" behindDoc="0" locked="0" layoutInCell="1" allowOverlap="1">
                <wp:simplePos x="0" y="0"/>
                <wp:positionH relativeFrom="column">
                  <wp:posOffset>4276725</wp:posOffset>
                </wp:positionH>
                <wp:positionV relativeFrom="paragraph">
                  <wp:posOffset>2547620</wp:posOffset>
                </wp:positionV>
                <wp:extent cx="458470" cy="9525"/>
                <wp:effectExtent l="19050" t="19050" r="36830"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470" cy="9525"/>
                        </a:xfrm>
                        <a:prstGeom prst="line">
                          <a:avLst/>
                        </a:prstGeom>
                        <a:ln w="28575">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07EDC" id="Straight Connector 3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200.6pt" to="372.85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" strokeweight="2.25pt">
                <v:stroke joinstyle="miter"/>
                <o:lock v:ext="edit" shapetype="f"/>
              </v:line>
            </w:pict>
          </mc:Fallback>
        </mc:AlternateContent>
      </w:r>
      <w:r w:rsidR="007C1F43" w:rsidRPr="002551F4">
        <w:rPr>
          <w:noProof/>
          <w:lang w:eastAsia="en-US"/>
        </w:rPr>
        <w:drawing>
          <wp:anchor distT="0" distB="0" distL="114300" distR="114300" simplePos="0" relativeHeight="251689984" behindDoc="0" locked="0" layoutInCell="1" allowOverlap="1">
            <wp:simplePos x="0" y="0"/>
            <wp:positionH relativeFrom="column">
              <wp:posOffset>4724400</wp:posOffset>
            </wp:positionH>
            <wp:positionV relativeFrom="paragraph">
              <wp:posOffset>956945</wp:posOffset>
            </wp:positionV>
            <wp:extent cx="567740" cy="1069975"/>
            <wp:effectExtent l="19050" t="57150" r="80010" b="539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7740" cy="1069975"/>
                    </a:xfrm>
                    <a:prstGeom prst="rect">
                      <a:avLst/>
                    </a:prstGeom>
                    <a:noFill/>
                    <a:ln>
                      <a:noFill/>
                    </a:ln>
                    <a:effectLst>
                      <a:outerShdw blurRad="50800" dist="38100" algn="l" rotWithShape="0">
                        <a:schemeClr val="tx2">
                          <a:lumMod val="40000"/>
                          <a:lumOff val="60000"/>
                          <a:alpha val="60000"/>
                        </a:schemeClr>
                      </a:outerShdw>
                    </a:effectLst>
                  </pic:spPr>
                </pic:pic>
              </a:graphicData>
            </a:graphic>
          </wp:anchor>
        </w:drawing>
      </w:r>
      <w:r w:rsidR="001715A3">
        <w:rPr>
          <w:noProof/>
          <w:lang w:eastAsia="en-US"/>
        </w:rPr>
        <mc:AlternateContent>
          <mc:Choice Requires="wps">
            <w:drawing>
              <wp:anchor distT="0" distB="0" distL="114300" distR="114300" simplePos="0" relativeHeight="251683840" behindDoc="0" locked="0" layoutInCell="1" allowOverlap="1">
                <wp:simplePos x="0" y="0"/>
                <wp:positionH relativeFrom="column">
                  <wp:posOffset>3790950</wp:posOffset>
                </wp:positionH>
                <wp:positionV relativeFrom="paragraph">
                  <wp:posOffset>2080895</wp:posOffset>
                </wp:positionV>
                <wp:extent cx="458470" cy="9525"/>
                <wp:effectExtent l="19050" t="19050" r="3683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470" cy="9525"/>
                        </a:xfrm>
                        <a:prstGeom prst="line">
                          <a:avLst/>
                        </a:prstGeom>
                        <a:ln w="28575">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2964"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63.85pt" to="334.6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" strokeweight="2.25pt">
                <v:stroke joinstyle="miter"/>
                <o:lock v:ext="edit" shapetype="f"/>
              </v:line>
            </w:pict>
          </mc:Fallback>
        </mc:AlternateContent>
      </w:r>
      <w:r w:rsidR="001715A3">
        <w:rPr>
          <w:noProof/>
          <w:lang w:eastAsia="en-US"/>
        </w:rPr>
        <mc:AlternateContent>
          <mc:Choice Requires="wps">
            <w:drawing>
              <wp:anchor distT="0" distB="0" distL="114300" distR="114300" simplePos="0" relativeHeight="251685888" behindDoc="0" locked="0" layoutInCell="1" allowOverlap="1">
                <wp:simplePos x="0" y="0"/>
                <wp:positionH relativeFrom="column">
                  <wp:posOffset>4791075</wp:posOffset>
                </wp:positionH>
                <wp:positionV relativeFrom="paragraph">
                  <wp:posOffset>2080895</wp:posOffset>
                </wp:positionV>
                <wp:extent cx="458470" cy="9525"/>
                <wp:effectExtent l="19050" t="19050" r="36830"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470" cy="9525"/>
                        </a:xfrm>
                        <a:prstGeom prst="line">
                          <a:avLst/>
                        </a:prstGeom>
                        <a:ln w="28575">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BF3CE" id="Straight Connector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163.85pt" to="413.3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" strokeweight="2.25pt">
                <v:stroke joinstyle="miter"/>
                <o:lock v:ext="edit" shapetype="f"/>
              </v:line>
            </w:pict>
          </mc:Fallback>
        </mc:AlternateContent>
      </w:r>
      <w:r w:rsidRPr="002551F4">
        <w:rPr>
          <w:rFonts w:ascii="Century Gothic" w:hAnsi="Century Gothic"/>
          <w:sz w:val="21"/>
          <w:szCs w:val="21"/>
        </w:rPr>
        <w:t xml:space="preserve"> </w:t>
      </w:r>
      <w:r w:rsidR="00FC682A">
        <w:rPr>
          <w:rFonts w:ascii="Century Gothic" w:hAnsi="Century Gothic"/>
          <w:sz w:val="21"/>
          <w:szCs w:val="21"/>
        </w:rPr>
        <w:t>Using the same source, a</w:t>
      </w:r>
      <w:r w:rsidR="000540FD" w:rsidRPr="002551F4">
        <w:rPr>
          <w:rFonts w:ascii="Century Gothic" w:hAnsi="Century Gothic"/>
          <w:sz w:val="21"/>
          <w:szCs w:val="21"/>
        </w:rPr>
        <w:t xml:space="preserve">n estimated 13.2% or 169,340 of NM adults 18 and older had either diagnosed or undiagnosed diabetes in 2012-13.  NM’s total estimate for both of these conditions surpasses 728,000 adults. </w:t>
      </w:r>
    </w:p>
    <w:p w:rsidR="000540FD" w:rsidRDefault="000540FD" w:rsidP="008A79D1">
      <w:pPr>
        <w:pStyle w:val="NoSpacing"/>
        <w:jc w:val="both"/>
        <w:rPr>
          <w:rFonts w:ascii="Century Gothic" w:hAnsi="Century Gothic"/>
          <w:sz w:val="21"/>
          <w:szCs w:val="21"/>
        </w:rPr>
      </w:pPr>
    </w:p>
    <w:p w:rsidR="00385842" w:rsidRDefault="00385842" w:rsidP="008A79D1">
      <w:pPr>
        <w:pStyle w:val="NoSpacing"/>
        <w:jc w:val="both"/>
        <w:rPr>
          <w:rFonts w:ascii="Century Gothic" w:hAnsi="Century Gothic"/>
          <w:sz w:val="21"/>
          <w:szCs w:val="21"/>
        </w:rPr>
      </w:pPr>
    </w:p>
    <w:p w:rsidR="00DF3147" w:rsidRPr="00DF3147" w:rsidRDefault="00DF3147" w:rsidP="00DF3147">
      <w:pPr>
        <w:rPr>
          <w:rFonts w:ascii="Century Gothic" w:eastAsiaTheme="majorEastAsia" w:hAnsi="Century Gothic" w:cstheme="majorBidi"/>
          <w:color w:val="B01513"/>
          <w:sz w:val="20"/>
          <w:szCs w:val="20"/>
          <w:lang w:eastAsia="ja-JP"/>
        </w:rPr>
      </w:pPr>
      <w:r w:rsidRPr="00DF3147">
        <w:rPr>
          <w:rFonts w:ascii="Century Gothic" w:eastAsiaTheme="majorEastAsia" w:hAnsi="Century Gothic" w:cstheme="majorBidi"/>
          <w:color w:val="B01513"/>
          <w:sz w:val="20"/>
          <w:szCs w:val="20"/>
          <w:lang w:eastAsia="ja-JP"/>
        </w:rPr>
        <w:t>Resources</w:t>
      </w:r>
    </w:p>
    <w:p w:rsidR="00C50B1D" w:rsidRDefault="00C50B1D" w:rsidP="00DF3147">
      <w:pPr>
        <w:pStyle w:val="NoSpacing"/>
        <w:rPr>
          <w:rFonts w:ascii="Century Gothic" w:hAnsi="Century Gothic"/>
          <w:sz w:val="21"/>
          <w:szCs w:val="21"/>
        </w:rPr>
      </w:pPr>
      <w:r w:rsidRPr="00DF3147">
        <w:rPr>
          <w:rFonts w:ascii="Century Gothic" w:hAnsi="Century Gothic"/>
        </w:rPr>
        <w:t xml:space="preserve">For information </w:t>
      </w:r>
      <w:r>
        <w:rPr>
          <w:rFonts w:ascii="Century Gothic" w:hAnsi="Century Gothic"/>
        </w:rPr>
        <w:t>the National Diabetes Prevention Program,</w:t>
      </w:r>
      <w:r w:rsidRPr="00DF3147">
        <w:rPr>
          <w:rFonts w:ascii="Century Gothic" w:hAnsi="Century Gothic"/>
        </w:rPr>
        <w:t xml:space="preserve"> go to:  </w:t>
      </w:r>
      <w:hyperlink r:id="rId15" w:history="1">
        <w:r w:rsidRPr="00C50B1D">
          <w:rPr>
            <w:rStyle w:val="Hyperlink"/>
            <w:rFonts w:ascii="Century Gothic" w:hAnsi="Century Gothic"/>
          </w:rPr>
          <w:t>www.cdc.gov/diabetes/prevention</w:t>
        </w:r>
      </w:hyperlink>
    </w:p>
    <w:p w:rsidR="00165359" w:rsidRDefault="00165359" w:rsidP="00165359">
      <w:pPr>
        <w:pStyle w:val="NoSpacing"/>
        <w:rPr>
          <w:rFonts w:ascii="Century Gothic" w:hAnsi="Century Gothic"/>
        </w:rPr>
      </w:pPr>
      <w:r w:rsidRPr="00DF3147">
        <w:rPr>
          <w:rFonts w:ascii="Century Gothic" w:hAnsi="Century Gothic"/>
        </w:rPr>
        <w:t>For information about diabetes prevention</w:t>
      </w:r>
      <w:r>
        <w:rPr>
          <w:rFonts w:ascii="Century Gothic" w:hAnsi="Century Gothic"/>
        </w:rPr>
        <w:t xml:space="preserve"> and</w:t>
      </w:r>
      <w:r w:rsidRPr="00DF3147">
        <w:rPr>
          <w:rFonts w:ascii="Century Gothic" w:hAnsi="Century Gothic"/>
        </w:rPr>
        <w:t xml:space="preserve"> prediabetes</w:t>
      </w:r>
      <w:r>
        <w:rPr>
          <w:rFonts w:ascii="Century Gothic" w:hAnsi="Century Gothic"/>
        </w:rPr>
        <w:t>,</w:t>
      </w:r>
      <w:r w:rsidRPr="00DF3147">
        <w:rPr>
          <w:rFonts w:ascii="Century Gothic" w:hAnsi="Century Gothic"/>
        </w:rPr>
        <w:t xml:space="preserve"> go to:   </w:t>
      </w:r>
      <w:hyperlink r:id="rId16" w:history="1">
        <w:r w:rsidRPr="00C7266B">
          <w:rPr>
            <w:rStyle w:val="Hyperlink"/>
            <w:rFonts w:ascii="Century Gothic" w:hAnsi="Century Gothic"/>
          </w:rPr>
          <w:t>http://www.cdc.gov/diabetes/data/statistics/2014StatisticsReport.html</w:t>
        </w:r>
      </w:hyperlink>
    </w:p>
    <w:p w:rsidR="00A86CD4" w:rsidRDefault="00A86CD4" w:rsidP="00DF3147">
      <w:pPr>
        <w:pStyle w:val="NoSpacing"/>
        <w:rPr>
          <w:rFonts w:ascii="Century Gothic" w:hAnsi="Century Gothic"/>
        </w:rPr>
      </w:pPr>
    </w:p>
    <w:p w:rsidR="00DF3147" w:rsidRDefault="00DF3147" w:rsidP="00EB373B">
      <w:pPr>
        <w:pStyle w:val="NoSpacing"/>
        <w:rPr>
          <w:rFonts w:ascii="Century Gothic" w:hAnsi="Century Gothic"/>
        </w:rPr>
      </w:pPr>
      <w:r w:rsidRPr="00DF3147">
        <w:rPr>
          <w:rFonts w:ascii="Century Gothic" w:hAnsi="Century Gothic"/>
        </w:rPr>
        <w:t xml:space="preserve">Go to </w:t>
      </w:r>
      <w:hyperlink r:id="rId17" w:history="1">
        <w:r w:rsidR="00765BB9" w:rsidRPr="00C7266B">
          <w:rPr>
            <w:rStyle w:val="Hyperlink"/>
            <w:rFonts w:ascii="Century Gothic" w:hAnsi="Century Gothic"/>
          </w:rPr>
          <w:t>http://nmhealth.org/about/phd/cdb/dpcp/</w:t>
        </w:r>
      </w:hyperlink>
      <w:r w:rsidR="00765BB9">
        <w:rPr>
          <w:rFonts w:ascii="Century Gothic" w:hAnsi="Century Gothic"/>
        </w:rPr>
        <w:t xml:space="preserve"> </w:t>
      </w:r>
      <w:r w:rsidRPr="00DF3147">
        <w:rPr>
          <w:rFonts w:ascii="Century Gothic" w:hAnsi="Century Gothic"/>
        </w:rPr>
        <w:t>to access</w:t>
      </w:r>
      <w:r w:rsidR="00EB373B">
        <w:rPr>
          <w:rFonts w:ascii="Century Gothic" w:hAnsi="Century Gothic"/>
        </w:rPr>
        <w:t xml:space="preserve"> a</w:t>
      </w:r>
      <w:r w:rsidR="008C68BB">
        <w:rPr>
          <w:rFonts w:ascii="Century Gothic" w:hAnsi="Century Gothic"/>
        </w:rPr>
        <w:t xml:space="preserve"> prediabetes screening test</w:t>
      </w:r>
      <w:r w:rsidR="00EB373B">
        <w:rPr>
          <w:rFonts w:ascii="Century Gothic" w:hAnsi="Century Gothic"/>
        </w:rPr>
        <w:t>.</w:t>
      </w:r>
    </w:p>
    <w:p w:rsidR="00EB373B" w:rsidRPr="00DF3147" w:rsidRDefault="00EB373B" w:rsidP="00EB373B">
      <w:pPr>
        <w:pStyle w:val="NoSpacing"/>
        <w:rPr>
          <w:rFonts w:ascii="Century Gothic" w:hAnsi="Century Gothic"/>
        </w:rPr>
      </w:pPr>
      <w:r>
        <w:rPr>
          <w:rFonts w:ascii="Century Gothic" w:hAnsi="Century Gothic"/>
        </w:rPr>
        <w:t xml:space="preserve">Go to </w:t>
      </w:r>
      <w:hyperlink r:id="rId18" w:history="1">
        <w:r w:rsidRPr="00C7266B">
          <w:rPr>
            <w:rStyle w:val="Hyperlink"/>
            <w:rFonts w:ascii="Century Gothic" w:hAnsi="Century Gothic"/>
          </w:rPr>
          <w:t>http://archive.diabetesnm.org/</w:t>
        </w:r>
      </w:hyperlink>
      <w:r w:rsidRPr="00EB373B">
        <w:rPr>
          <w:rFonts w:ascii="Century Gothic" w:hAnsi="Century Gothic"/>
        </w:rPr>
        <w:t xml:space="preserve"> </w:t>
      </w:r>
      <w:r>
        <w:rPr>
          <w:rFonts w:ascii="Century Gothic" w:hAnsi="Century Gothic"/>
        </w:rPr>
        <w:t>for these online courses:</w:t>
      </w:r>
    </w:p>
    <w:p w:rsidR="00DF3147" w:rsidRPr="00DF3147" w:rsidRDefault="00DF3147" w:rsidP="00DF3147">
      <w:pPr>
        <w:pStyle w:val="NoSpacing"/>
        <w:numPr>
          <w:ilvl w:val="0"/>
          <w:numId w:val="2"/>
        </w:numPr>
        <w:rPr>
          <w:rFonts w:ascii="Century Gothic" w:hAnsi="Century Gothic"/>
        </w:rPr>
      </w:pPr>
      <w:r w:rsidRPr="00DF3147">
        <w:rPr>
          <w:rFonts w:ascii="Century Gothic" w:hAnsi="Century Gothic"/>
        </w:rPr>
        <w:t>A free online course for providers about prediabetes; and</w:t>
      </w:r>
    </w:p>
    <w:p w:rsidR="00DF3147" w:rsidRPr="00DF3147" w:rsidRDefault="00DF3147" w:rsidP="00DF3147">
      <w:pPr>
        <w:pStyle w:val="NoSpacing"/>
        <w:numPr>
          <w:ilvl w:val="0"/>
          <w:numId w:val="2"/>
        </w:numPr>
        <w:rPr>
          <w:rFonts w:ascii="Century Gothic" w:hAnsi="Century Gothic"/>
        </w:rPr>
      </w:pPr>
      <w:r w:rsidRPr="00DF3147">
        <w:rPr>
          <w:rFonts w:ascii="Century Gothic" w:hAnsi="Century Gothic"/>
        </w:rPr>
        <w:t xml:space="preserve">A training guide to implementing community walking trails </w:t>
      </w:r>
    </w:p>
    <w:p w:rsidR="00DF3147" w:rsidRPr="00DF3147" w:rsidRDefault="00DF3147" w:rsidP="00DF3147">
      <w:pPr>
        <w:pStyle w:val="NoSpacing"/>
        <w:numPr>
          <w:ilvl w:val="0"/>
          <w:numId w:val="2"/>
        </w:numPr>
        <w:rPr>
          <w:rFonts w:ascii="Century Gothic" w:hAnsi="Century Gothic"/>
        </w:rPr>
      </w:pPr>
      <w:r w:rsidRPr="00DF3147">
        <w:rPr>
          <w:rFonts w:ascii="Century Gothic" w:hAnsi="Century Gothic"/>
        </w:rPr>
        <w:t>Free online courses for providers on Diabetes and Smoking and Diabetes and Depression</w:t>
      </w:r>
    </w:p>
    <w:p w:rsidR="00DF3147" w:rsidRDefault="00DF3147" w:rsidP="00DF3147">
      <w:pPr>
        <w:pStyle w:val="NoSpacing"/>
        <w:rPr>
          <w:rFonts w:ascii="Century Gothic" w:hAnsi="Century Gothic"/>
        </w:rPr>
      </w:pPr>
    </w:p>
    <w:p w:rsidR="00DF3147" w:rsidRDefault="00DF3147" w:rsidP="00DF3147">
      <w:pPr>
        <w:pStyle w:val="NoSpacing"/>
        <w:rPr>
          <w:rFonts w:ascii="Century Gothic" w:hAnsi="Century Gothic"/>
        </w:rPr>
      </w:pPr>
      <w:r w:rsidRPr="00DF3147">
        <w:rPr>
          <w:rFonts w:ascii="Century Gothic" w:hAnsi="Century Gothic"/>
        </w:rPr>
        <w:t xml:space="preserve">For more information about diabetes and what works to prevent and control diabetes, go to: </w:t>
      </w:r>
      <w:hyperlink r:id="rId19" w:history="1">
        <w:r w:rsidRPr="00DF3147">
          <w:rPr>
            <w:rStyle w:val="Hyperlink"/>
            <w:rFonts w:ascii="Century Gothic" w:hAnsi="Century Gothic"/>
          </w:rPr>
          <w:t>www.thecommunityguide.org/diabetes/index.html</w:t>
        </w:r>
      </w:hyperlink>
      <w:r w:rsidRPr="00DF3147">
        <w:rPr>
          <w:rFonts w:ascii="Century Gothic" w:hAnsi="Century Gothic"/>
        </w:rPr>
        <w:t xml:space="preserve"> and </w:t>
      </w:r>
      <w:hyperlink r:id="rId20" w:history="1">
        <w:r w:rsidRPr="00DF3147">
          <w:rPr>
            <w:rStyle w:val="Hyperlink"/>
            <w:rFonts w:ascii="Century Gothic" w:hAnsi="Century Gothic"/>
          </w:rPr>
          <w:t>http://ibis.health.state.nm.us/indicator/complete_profile/DiabPrevl.html</w:t>
        </w:r>
      </w:hyperlink>
      <w:r w:rsidRPr="00DF3147">
        <w:rPr>
          <w:rFonts w:ascii="Century Gothic" w:hAnsi="Century Gothic"/>
        </w:rPr>
        <w:t xml:space="preserve"> </w:t>
      </w:r>
    </w:p>
    <w:p w:rsidR="00DF3147" w:rsidRPr="00DF3147" w:rsidRDefault="00DF3147" w:rsidP="00DF3147">
      <w:pPr>
        <w:pStyle w:val="NoSpacing"/>
        <w:rPr>
          <w:rFonts w:ascii="Century Gothic" w:hAnsi="Century Gothic"/>
        </w:rPr>
      </w:pPr>
    </w:p>
    <w:p w:rsidR="00DF3147" w:rsidRPr="00DF3147" w:rsidRDefault="00DF3147" w:rsidP="00DF3147">
      <w:pPr>
        <w:rPr>
          <w:rFonts w:ascii="Century Gothic" w:eastAsiaTheme="majorEastAsia" w:hAnsi="Century Gothic" w:cstheme="majorBidi"/>
          <w:color w:val="B01513"/>
          <w:sz w:val="20"/>
          <w:szCs w:val="20"/>
          <w:lang w:eastAsia="ja-JP"/>
        </w:rPr>
      </w:pPr>
      <w:r w:rsidRPr="00DF3147">
        <w:rPr>
          <w:rFonts w:ascii="Century Gothic" w:eastAsiaTheme="majorEastAsia" w:hAnsi="Century Gothic" w:cstheme="majorBidi"/>
          <w:color w:val="B01513"/>
          <w:sz w:val="20"/>
          <w:szCs w:val="20"/>
          <w:lang w:eastAsia="ja-JP"/>
        </w:rPr>
        <w:t>References</w:t>
      </w:r>
    </w:p>
    <w:p w:rsidR="00DF3147" w:rsidRPr="00DF3147" w:rsidRDefault="00DF3147" w:rsidP="00DF3147">
      <w:pPr>
        <w:pStyle w:val="NoSpacing"/>
        <w:rPr>
          <w:rFonts w:ascii="Century Gothic" w:hAnsi="Century Gothic"/>
        </w:rPr>
      </w:pPr>
      <w:r w:rsidRPr="00DF3147">
        <w:rPr>
          <w:rFonts w:ascii="Century Gothic" w:hAnsi="Century Gothic"/>
        </w:rPr>
        <w:t xml:space="preserve">Centers for Disease Control and Prevention. National Diabetes Statistics Report: Estimates of Diabetes and Its Burden in the United States, 2014. Atlanta, GA: U.S. Department of Health and Human Services; 2014. </w:t>
      </w:r>
      <w:hyperlink r:id="rId21" w:history="1">
        <w:r w:rsidRPr="00DF3147">
          <w:rPr>
            <w:rStyle w:val="Hyperlink"/>
            <w:rFonts w:ascii="Century Gothic" w:hAnsi="Century Gothic"/>
          </w:rPr>
          <w:t>http://www.cdc.gov/diabetes/pubs/statsreport14/national-diabetes-report-web.pdf</w:t>
        </w:r>
      </w:hyperlink>
    </w:p>
    <w:p w:rsidR="00DF3147" w:rsidRPr="00DF3147" w:rsidRDefault="00DF3147" w:rsidP="00DF3147"/>
    <w:p w:rsidR="00DF3147" w:rsidRPr="00DF3147" w:rsidRDefault="00DF3147" w:rsidP="00DF3147">
      <w:pPr>
        <w:rPr>
          <w:rFonts w:ascii="Century Gothic" w:eastAsiaTheme="majorEastAsia" w:hAnsi="Century Gothic" w:cstheme="majorBidi"/>
          <w:color w:val="B01513"/>
          <w:sz w:val="20"/>
          <w:szCs w:val="20"/>
          <w:lang w:eastAsia="ja-JP"/>
        </w:rPr>
      </w:pPr>
      <w:r w:rsidRPr="00DF3147">
        <w:rPr>
          <w:rFonts w:ascii="Century Gothic" w:eastAsiaTheme="majorEastAsia" w:hAnsi="Century Gothic" w:cstheme="majorBidi"/>
          <w:color w:val="B01513"/>
          <w:sz w:val="20"/>
          <w:szCs w:val="20"/>
          <w:lang w:eastAsia="ja-JP"/>
        </w:rPr>
        <w:t>NM Diabetes Prevention and Control Program</w:t>
      </w:r>
    </w:p>
    <w:p w:rsidR="00DF3147" w:rsidRPr="00084BB1" w:rsidRDefault="00DF3147" w:rsidP="00084BB1">
      <w:pPr>
        <w:pStyle w:val="NoSpacing"/>
        <w:rPr>
          <w:rFonts w:ascii="Century Gothic" w:hAnsi="Century Gothic"/>
        </w:rPr>
      </w:pPr>
      <w:r w:rsidRPr="00084BB1">
        <w:rPr>
          <w:rFonts w:ascii="Century Gothic" w:hAnsi="Century Gothic"/>
        </w:rPr>
        <w:t xml:space="preserve">Judith Gabriele, program manager, 505-476-7613, </w:t>
      </w:r>
      <w:hyperlink r:id="rId22" w:history="1">
        <w:r w:rsidRPr="00084BB1">
          <w:rPr>
            <w:rFonts w:ascii="Century Gothic" w:hAnsi="Century Gothic"/>
          </w:rPr>
          <w:t>judith.gabriele@state.nm.us</w:t>
        </w:r>
      </w:hyperlink>
    </w:p>
    <w:p w:rsidR="00DF3147" w:rsidRPr="00084BB1" w:rsidRDefault="00DF3147" w:rsidP="00084BB1">
      <w:pPr>
        <w:pStyle w:val="NoSpacing"/>
        <w:rPr>
          <w:rFonts w:ascii="Century Gothic" w:hAnsi="Century Gothic"/>
        </w:rPr>
      </w:pPr>
      <w:r w:rsidRPr="00084BB1">
        <w:rPr>
          <w:rFonts w:ascii="Century Gothic" w:hAnsi="Century Gothic"/>
        </w:rPr>
        <w:t xml:space="preserve">Corazon Halasan, program epidemiologist, 505-476-7617, </w:t>
      </w:r>
      <w:hyperlink r:id="rId23" w:history="1">
        <w:r w:rsidRPr="00084BB1">
          <w:rPr>
            <w:rFonts w:ascii="Century Gothic" w:hAnsi="Century Gothic"/>
          </w:rPr>
          <w:t>corazon.halasan@state.nm.us</w:t>
        </w:r>
      </w:hyperlink>
    </w:p>
    <w:p w:rsidR="00DF3147" w:rsidRPr="00084BB1" w:rsidRDefault="00DF3147" w:rsidP="00084BB1">
      <w:pPr>
        <w:pStyle w:val="NoSpacing"/>
        <w:rPr>
          <w:rFonts w:ascii="Century Gothic" w:hAnsi="Century Gothic"/>
        </w:rPr>
      </w:pPr>
      <w:r w:rsidRPr="00084BB1">
        <w:rPr>
          <w:rFonts w:ascii="Century Gothic" w:hAnsi="Century Gothic"/>
        </w:rPr>
        <w:t xml:space="preserve">Chris Lucero, </w:t>
      </w:r>
      <w:r w:rsidR="008E1D75">
        <w:rPr>
          <w:rFonts w:ascii="Century Gothic" w:hAnsi="Century Gothic"/>
        </w:rPr>
        <w:t>coordinator</w:t>
      </w:r>
      <w:r w:rsidRPr="00084BB1">
        <w:rPr>
          <w:rFonts w:ascii="Century Gothic" w:hAnsi="Century Gothic"/>
        </w:rPr>
        <w:t xml:space="preserve"> of evidence-based programs, 505-222-8605, </w:t>
      </w:r>
      <w:hyperlink r:id="rId24" w:history="1">
        <w:r w:rsidRPr="00084BB1">
          <w:rPr>
            <w:rFonts w:ascii="Century Gothic" w:hAnsi="Century Gothic"/>
          </w:rPr>
          <w:t>christopher.lucero@state.nm.us</w:t>
        </w:r>
      </w:hyperlink>
      <w:r w:rsidRPr="00084BB1">
        <w:rPr>
          <w:rFonts w:ascii="Century Gothic" w:hAnsi="Century Gothic"/>
        </w:rPr>
        <w:t xml:space="preserve"> </w:t>
      </w:r>
    </w:p>
    <w:p w:rsidR="00E5531B" w:rsidRDefault="00E5531B"/>
    <w:p w:rsidR="004E1733" w:rsidRPr="008E1D75" w:rsidRDefault="008E1D75" w:rsidP="004E1733">
      <w:pPr>
        <w:rPr>
          <w:rFonts w:ascii="Century Gothic" w:hAnsi="Century Gothic"/>
          <w:sz w:val="16"/>
          <w:szCs w:val="16"/>
        </w:rPr>
      </w:pPr>
      <w:r w:rsidRPr="008E1D75">
        <w:rPr>
          <w:rFonts w:ascii="Century Gothic" w:hAnsi="Century Gothic"/>
          <w:sz w:val="16"/>
          <w:szCs w:val="16"/>
        </w:rPr>
        <w:t>May 2015</w:t>
      </w:r>
    </w:p>
    <w:sectPr w:rsidR="004E1733" w:rsidRPr="008E1D75" w:rsidSect="000544A5">
      <w:headerReference w:type="default" r:id="rId25"/>
      <w:footerReference w:type="default" r:id="rId26"/>
      <w:pgSz w:w="12240" w:h="15840"/>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2CE" w:rsidRDefault="003402CE" w:rsidP="007731AD">
      <w:pPr>
        <w:spacing w:after="0" w:line="240" w:lineRule="auto"/>
      </w:pPr>
      <w:r>
        <w:separator/>
      </w:r>
    </w:p>
  </w:endnote>
  <w:endnote w:type="continuationSeparator" w:id="0">
    <w:p w:rsidR="003402CE" w:rsidRDefault="003402CE" w:rsidP="0077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84382"/>
      <w:docPartObj>
        <w:docPartGallery w:val="Page Numbers (Bottom of Page)"/>
        <w:docPartUnique/>
      </w:docPartObj>
    </w:sdtPr>
    <w:sdtEndPr>
      <w:rPr>
        <w:rFonts w:ascii="Century Gothic" w:hAnsi="Century Gothic"/>
        <w:color w:val="7F7F7F" w:themeColor="background1" w:themeShade="7F"/>
        <w:spacing w:val="60"/>
        <w:sz w:val="14"/>
        <w:szCs w:val="14"/>
      </w:rPr>
    </w:sdtEndPr>
    <w:sdtContent>
      <w:p w:rsidR="007731AD" w:rsidRPr="00BA276E" w:rsidRDefault="00747B94" w:rsidP="00BA276E">
        <w:pPr>
          <w:pStyle w:val="Footer"/>
          <w:pBdr>
            <w:top w:val="single" w:sz="4" w:space="1" w:color="D9D9D9" w:themeColor="background1" w:themeShade="D9"/>
          </w:pBdr>
          <w:jc w:val="right"/>
          <w:rPr>
            <w:rFonts w:ascii="Century Gothic" w:hAnsi="Century Gothic"/>
            <w:sz w:val="14"/>
            <w:szCs w:val="14"/>
          </w:rPr>
        </w:pPr>
        <w:r w:rsidRPr="00BA276E">
          <w:rPr>
            <w:rFonts w:ascii="Century Gothic" w:hAnsi="Century Gothic"/>
            <w:sz w:val="14"/>
            <w:szCs w:val="14"/>
          </w:rPr>
          <w:fldChar w:fldCharType="begin"/>
        </w:r>
        <w:r w:rsidR="007731AD" w:rsidRPr="00BA276E">
          <w:rPr>
            <w:rFonts w:ascii="Century Gothic" w:hAnsi="Century Gothic"/>
            <w:sz w:val="14"/>
            <w:szCs w:val="14"/>
          </w:rPr>
          <w:instrText xml:space="preserve"> PAGE   \* MERGEFORMAT </w:instrText>
        </w:r>
        <w:r w:rsidRPr="00BA276E">
          <w:rPr>
            <w:rFonts w:ascii="Century Gothic" w:hAnsi="Century Gothic"/>
            <w:sz w:val="14"/>
            <w:szCs w:val="14"/>
          </w:rPr>
          <w:fldChar w:fldCharType="separate"/>
        </w:r>
        <w:r w:rsidR="001715A3">
          <w:rPr>
            <w:rFonts w:ascii="Century Gothic" w:hAnsi="Century Gothic"/>
            <w:noProof/>
            <w:sz w:val="14"/>
            <w:szCs w:val="14"/>
          </w:rPr>
          <w:t>2</w:t>
        </w:r>
        <w:r w:rsidRPr="00BA276E">
          <w:rPr>
            <w:rFonts w:ascii="Century Gothic" w:hAnsi="Century Gothic"/>
            <w:noProof/>
            <w:sz w:val="14"/>
            <w:szCs w:val="14"/>
          </w:rPr>
          <w:fldChar w:fldCharType="end"/>
        </w:r>
        <w:r w:rsidR="007731AD" w:rsidRPr="00BA276E">
          <w:rPr>
            <w:rFonts w:ascii="Century Gothic" w:hAnsi="Century Gothic"/>
            <w:sz w:val="14"/>
            <w:szCs w:val="14"/>
          </w:rPr>
          <w:t xml:space="preserve"> | </w:t>
        </w:r>
        <w:r w:rsidR="007731AD" w:rsidRPr="00BA276E">
          <w:rPr>
            <w:rFonts w:ascii="Century Gothic" w:hAnsi="Century Gothic"/>
            <w:color w:val="7F7F7F" w:themeColor="background1" w:themeShade="7F"/>
            <w:spacing w:val="60"/>
            <w:sz w:val="14"/>
            <w:szCs w:val="1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2CE" w:rsidRDefault="003402CE" w:rsidP="007731AD">
      <w:pPr>
        <w:spacing w:after="0" w:line="240" w:lineRule="auto"/>
      </w:pPr>
      <w:r>
        <w:separator/>
      </w:r>
    </w:p>
  </w:footnote>
  <w:footnote w:type="continuationSeparator" w:id="0">
    <w:p w:rsidR="003402CE" w:rsidRDefault="003402CE" w:rsidP="00773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B7" w:rsidRDefault="009746B7" w:rsidP="009746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A7197"/>
    <w:multiLevelType w:val="hybridMultilevel"/>
    <w:tmpl w:val="129A17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9120A1"/>
    <w:multiLevelType w:val="hybridMultilevel"/>
    <w:tmpl w:val="E920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1B"/>
    <w:rsid w:val="00005844"/>
    <w:rsid w:val="00012CBC"/>
    <w:rsid w:val="0001384A"/>
    <w:rsid w:val="000223F7"/>
    <w:rsid w:val="00025BF2"/>
    <w:rsid w:val="00027462"/>
    <w:rsid w:val="00034EDC"/>
    <w:rsid w:val="00045CD3"/>
    <w:rsid w:val="000540FD"/>
    <w:rsid w:val="000544A5"/>
    <w:rsid w:val="00054C30"/>
    <w:rsid w:val="00057777"/>
    <w:rsid w:val="0006341A"/>
    <w:rsid w:val="00064103"/>
    <w:rsid w:val="00067A5D"/>
    <w:rsid w:val="00067F59"/>
    <w:rsid w:val="00071951"/>
    <w:rsid w:val="00076145"/>
    <w:rsid w:val="00077637"/>
    <w:rsid w:val="00083979"/>
    <w:rsid w:val="00084BB1"/>
    <w:rsid w:val="00087855"/>
    <w:rsid w:val="00094FFF"/>
    <w:rsid w:val="000A024D"/>
    <w:rsid w:val="000A34C4"/>
    <w:rsid w:val="000A5359"/>
    <w:rsid w:val="000B140D"/>
    <w:rsid w:val="000B1DCC"/>
    <w:rsid w:val="000B1E90"/>
    <w:rsid w:val="000C1CCB"/>
    <w:rsid w:val="000C6BCF"/>
    <w:rsid w:val="000D1641"/>
    <w:rsid w:val="000E0CB5"/>
    <w:rsid w:val="000F738D"/>
    <w:rsid w:val="000F7620"/>
    <w:rsid w:val="00100A74"/>
    <w:rsid w:val="001046C7"/>
    <w:rsid w:val="0013525E"/>
    <w:rsid w:val="001357BD"/>
    <w:rsid w:val="0013686C"/>
    <w:rsid w:val="001415F7"/>
    <w:rsid w:val="00147793"/>
    <w:rsid w:val="00153E1C"/>
    <w:rsid w:val="00157102"/>
    <w:rsid w:val="00157310"/>
    <w:rsid w:val="00157323"/>
    <w:rsid w:val="001607B7"/>
    <w:rsid w:val="00164C92"/>
    <w:rsid w:val="00165359"/>
    <w:rsid w:val="0016580A"/>
    <w:rsid w:val="00165E21"/>
    <w:rsid w:val="001715A3"/>
    <w:rsid w:val="001726FC"/>
    <w:rsid w:val="00185BA4"/>
    <w:rsid w:val="00195492"/>
    <w:rsid w:val="001975B3"/>
    <w:rsid w:val="00197DBB"/>
    <w:rsid w:val="001A1C92"/>
    <w:rsid w:val="001A61BD"/>
    <w:rsid w:val="001B1217"/>
    <w:rsid w:val="001B2AD3"/>
    <w:rsid w:val="001B52E5"/>
    <w:rsid w:val="001C608A"/>
    <w:rsid w:val="001C79EE"/>
    <w:rsid w:val="001D74E0"/>
    <w:rsid w:val="001E3A32"/>
    <w:rsid w:val="001F015D"/>
    <w:rsid w:val="001F630D"/>
    <w:rsid w:val="00215482"/>
    <w:rsid w:val="00215F1B"/>
    <w:rsid w:val="002207DF"/>
    <w:rsid w:val="00221757"/>
    <w:rsid w:val="00224D78"/>
    <w:rsid w:val="00235CBA"/>
    <w:rsid w:val="002378F1"/>
    <w:rsid w:val="002402D8"/>
    <w:rsid w:val="00243CCA"/>
    <w:rsid w:val="002443FF"/>
    <w:rsid w:val="00247F51"/>
    <w:rsid w:val="002551F4"/>
    <w:rsid w:val="00263496"/>
    <w:rsid w:val="002666E9"/>
    <w:rsid w:val="00267D30"/>
    <w:rsid w:val="002728EA"/>
    <w:rsid w:val="00272E2A"/>
    <w:rsid w:val="00273D77"/>
    <w:rsid w:val="00273E17"/>
    <w:rsid w:val="00285A3A"/>
    <w:rsid w:val="00285A84"/>
    <w:rsid w:val="0028633C"/>
    <w:rsid w:val="00290117"/>
    <w:rsid w:val="002A27D0"/>
    <w:rsid w:val="002A50AC"/>
    <w:rsid w:val="002B3FD8"/>
    <w:rsid w:val="002B48DD"/>
    <w:rsid w:val="002C0B1E"/>
    <w:rsid w:val="002C4C92"/>
    <w:rsid w:val="002D50E7"/>
    <w:rsid w:val="002D58AA"/>
    <w:rsid w:val="002D6AF0"/>
    <w:rsid w:val="002E02A8"/>
    <w:rsid w:val="002E0AE9"/>
    <w:rsid w:val="002F7142"/>
    <w:rsid w:val="00301915"/>
    <w:rsid w:val="00302713"/>
    <w:rsid w:val="0030640C"/>
    <w:rsid w:val="0030775D"/>
    <w:rsid w:val="00307D50"/>
    <w:rsid w:val="00311038"/>
    <w:rsid w:val="003120AE"/>
    <w:rsid w:val="003140B9"/>
    <w:rsid w:val="00314E01"/>
    <w:rsid w:val="003151AD"/>
    <w:rsid w:val="00321B65"/>
    <w:rsid w:val="00322DC7"/>
    <w:rsid w:val="00324068"/>
    <w:rsid w:val="00331907"/>
    <w:rsid w:val="0033195F"/>
    <w:rsid w:val="003402CE"/>
    <w:rsid w:val="003511D0"/>
    <w:rsid w:val="0035439F"/>
    <w:rsid w:val="00354E51"/>
    <w:rsid w:val="00360C14"/>
    <w:rsid w:val="0037257C"/>
    <w:rsid w:val="003832A5"/>
    <w:rsid w:val="0038434F"/>
    <w:rsid w:val="00385842"/>
    <w:rsid w:val="00391EB7"/>
    <w:rsid w:val="003A7490"/>
    <w:rsid w:val="003B3342"/>
    <w:rsid w:val="003C0588"/>
    <w:rsid w:val="003C3B7E"/>
    <w:rsid w:val="003C597F"/>
    <w:rsid w:val="003C6985"/>
    <w:rsid w:val="003D0BA9"/>
    <w:rsid w:val="003D2045"/>
    <w:rsid w:val="003D7B47"/>
    <w:rsid w:val="003E2F6D"/>
    <w:rsid w:val="003E7FDE"/>
    <w:rsid w:val="003F01EB"/>
    <w:rsid w:val="003F0CDB"/>
    <w:rsid w:val="003F23AF"/>
    <w:rsid w:val="004031F3"/>
    <w:rsid w:val="004078AD"/>
    <w:rsid w:val="004117C5"/>
    <w:rsid w:val="0041490A"/>
    <w:rsid w:val="00416298"/>
    <w:rsid w:val="004249FD"/>
    <w:rsid w:val="00432888"/>
    <w:rsid w:val="00432E63"/>
    <w:rsid w:val="00434F42"/>
    <w:rsid w:val="00437D86"/>
    <w:rsid w:val="00455E44"/>
    <w:rsid w:val="004664D7"/>
    <w:rsid w:val="0046707B"/>
    <w:rsid w:val="00471218"/>
    <w:rsid w:val="00471335"/>
    <w:rsid w:val="00476FD2"/>
    <w:rsid w:val="00486E24"/>
    <w:rsid w:val="0048790B"/>
    <w:rsid w:val="00497D06"/>
    <w:rsid w:val="004A1D74"/>
    <w:rsid w:val="004A3295"/>
    <w:rsid w:val="004B3F10"/>
    <w:rsid w:val="004B670E"/>
    <w:rsid w:val="004D2A86"/>
    <w:rsid w:val="004E1733"/>
    <w:rsid w:val="004E3E82"/>
    <w:rsid w:val="004F0304"/>
    <w:rsid w:val="004F11E8"/>
    <w:rsid w:val="004F26C4"/>
    <w:rsid w:val="004F2E2B"/>
    <w:rsid w:val="00504773"/>
    <w:rsid w:val="00505971"/>
    <w:rsid w:val="00513055"/>
    <w:rsid w:val="0052379D"/>
    <w:rsid w:val="0052400C"/>
    <w:rsid w:val="005268B0"/>
    <w:rsid w:val="00527308"/>
    <w:rsid w:val="00527FD2"/>
    <w:rsid w:val="00532BEE"/>
    <w:rsid w:val="00533C84"/>
    <w:rsid w:val="00534727"/>
    <w:rsid w:val="00541D9B"/>
    <w:rsid w:val="005448C3"/>
    <w:rsid w:val="00544FC0"/>
    <w:rsid w:val="005527F8"/>
    <w:rsid w:val="00557634"/>
    <w:rsid w:val="00565250"/>
    <w:rsid w:val="005824A0"/>
    <w:rsid w:val="00590A04"/>
    <w:rsid w:val="005961AF"/>
    <w:rsid w:val="005A05F1"/>
    <w:rsid w:val="005A30F8"/>
    <w:rsid w:val="005A49E5"/>
    <w:rsid w:val="005A52E2"/>
    <w:rsid w:val="005B4556"/>
    <w:rsid w:val="005B53FB"/>
    <w:rsid w:val="005B6049"/>
    <w:rsid w:val="005C6ED1"/>
    <w:rsid w:val="005D2A52"/>
    <w:rsid w:val="005D6625"/>
    <w:rsid w:val="005E0886"/>
    <w:rsid w:val="005E0FBC"/>
    <w:rsid w:val="005E3122"/>
    <w:rsid w:val="005F3420"/>
    <w:rsid w:val="00602EAE"/>
    <w:rsid w:val="006066AE"/>
    <w:rsid w:val="006114F8"/>
    <w:rsid w:val="0061222C"/>
    <w:rsid w:val="00615A91"/>
    <w:rsid w:val="00620680"/>
    <w:rsid w:val="006232AD"/>
    <w:rsid w:val="00623990"/>
    <w:rsid w:val="00623B24"/>
    <w:rsid w:val="00625569"/>
    <w:rsid w:val="00627478"/>
    <w:rsid w:val="006306A6"/>
    <w:rsid w:val="00632917"/>
    <w:rsid w:val="00636711"/>
    <w:rsid w:val="00645D42"/>
    <w:rsid w:val="006462C6"/>
    <w:rsid w:val="00671D5B"/>
    <w:rsid w:val="00675C99"/>
    <w:rsid w:val="00675F8C"/>
    <w:rsid w:val="006916D3"/>
    <w:rsid w:val="006978D2"/>
    <w:rsid w:val="006A152A"/>
    <w:rsid w:val="006A737B"/>
    <w:rsid w:val="006C4524"/>
    <w:rsid w:val="006C562B"/>
    <w:rsid w:val="006C640F"/>
    <w:rsid w:val="006C7E27"/>
    <w:rsid w:val="006D11C1"/>
    <w:rsid w:val="006D1239"/>
    <w:rsid w:val="006D3747"/>
    <w:rsid w:val="006E13FC"/>
    <w:rsid w:val="006F3175"/>
    <w:rsid w:val="007027CB"/>
    <w:rsid w:val="007040D2"/>
    <w:rsid w:val="007156A7"/>
    <w:rsid w:val="00725197"/>
    <w:rsid w:val="007255D5"/>
    <w:rsid w:val="0073610C"/>
    <w:rsid w:val="00745CB8"/>
    <w:rsid w:val="00747B94"/>
    <w:rsid w:val="00751D52"/>
    <w:rsid w:val="007538B8"/>
    <w:rsid w:val="00753C40"/>
    <w:rsid w:val="00755E1A"/>
    <w:rsid w:val="007571CC"/>
    <w:rsid w:val="00765BB9"/>
    <w:rsid w:val="00765C6C"/>
    <w:rsid w:val="007669D4"/>
    <w:rsid w:val="007731AD"/>
    <w:rsid w:val="0078070B"/>
    <w:rsid w:val="00783070"/>
    <w:rsid w:val="00784A6D"/>
    <w:rsid w:val="00785362"/>
    <w:rsid w:val="007A6411"/>
    <w:rsid w:val="007B1D4E"/>
    <w:rsid w:val="007B4374"/>
    <w:rsid w:val="007C0BAE"/>
    <w:rsid w:val="007C1F43"/>
    <w:rsid w:val="007C22DA"/>
    <w:rsid w:val="007C2EFD"/>
    <w:rsid w:val="007C3E8F"/>
    <w:rsid w:val="007C499D"/>
    <w:rsid w:val="007C7F28"/>
    <w:rsid w:val="007E0106"/>
    <w:rsid w:val="007E0DD2"/>
    <w:rsid w:val="007F1A8D"/>
    <w:rsid w:val="007F3FA5"/>
    <w:rsid w:val="007F5D03"/>
    <w:rsid w:val="007F7108"/>
    <w:rsid w:val="008009B2"/>
    <w:rsid w:val="0080111F"/>
    <w:rsid w:val="00805BEF"/>
    <w:rsid w:val="008133FE"/>
    <w:rsid w:val="00815CCE"/>
    <w:rsid w:val="0082650B"/>
    <w:rsid w:val="00836147"/>
    <w:rsid w:val="00837F9F"/>
    <w:rsid w:val="00847CD2"/>
    <w:rsid w:val="00850BA5"/>
    <w:rsid w:val="00857F9E"/>
    <w:rsid w:val="008606F6"/>
    <w:rsid w:val="0086396A"/>
    <w:rsid w:val="0086441D"/>
    <w:rsid w:val="008701D7"/>
    <w:rsid w:val="00875888"/>
    <w:rsid w:val="00881488"/>
    <w:rsid w:val="00887877"/>
    <w:rsid w:val="00893C45"/>
    <w:rsid w:val="008A0151"/>
    <w:rsid w:val="008A59C6"/>
    <w:rsid w:val="008A5D96"/>
    <w:rsid w:val="008A79D1"/>
    <w:rsid w:val="008B3A50"/>
    <w:rsid w:val="008C68BB"/>
    <w:rsid w:val="008D2651"/>
    <w:rsid w:val="008D36C4"/>
    <w:rsid w:val="008E1D75"/>
    <w:rsid w:val="008E207C"/>
    <w:rsid w:val="008E2265"/>
    <w:rsid w:val="00901DD6"/>
    <w:rsid w:val="009200BD"/>
    <w:rsid w:val="00922FA9"/>
    <w:rsid w:val="00926329"/>
    <w:rsid w:val="00927B8D"/>
    <w:rsid w:val="0093256D"/>
    <w:rsid w:val="00937299"/>
    <w:rsid w:val="00940779"/>
    <w:rsid w:val="00951846"/>
    <w:rsid w:val="009541ED"/>
    <w:rsid w:val="0095759A"/>
    <w:rsid w:val="00957B16"/>
    <w:rsid w:val="009606FA"/>
    <w:rsid w:val="009667D6"/>
    <w:rsid w:val="00970CA0"/>
    <w:rsid w:val="00972C4E"/>
    <w:rsid w:val="009746B7"/>
    <w:rsid w:val="009748C2"/>
    <w:rsid w:val="00975B8B"/>
    <w:rsid w:val="00991E15"/>
    <w:rsid w:val="0099387B"/>
    <w:rsid w:val="009A0D99"/>
    <w:rsid w:val="009A721D"/>
    <w:rsid w:val="009C24EF"/>
    <w:rsid w:val="009C353C"/>
    <w:rsid w:val="009D463A"/>
    <w:rsid w:val="009F74FE"/>
    <w:rsid w:val="00A01A58"/>
    <w:rsid w:val="00A0299C"/>
    <w:rsid w:val="00A065A3"/>
    <w:rsid w:val="00A10041"/>
    <w:rsid w:val="00A1128E"/>
    <w:rsid w:val="00A23A1F"/>
    <w:rsid w:val="00A272E4"/>
    <w:rsid w:val="00A5674B"/>
    <w:rsid w:val="00A57A22"/>
    <w:rsid w:val="00A62039"/>
    <w:rsid w:val="00A77BC3"/>
    <w:rsid w:val="00A83737"/>
    <w:rsid w:val="00A85C6E"/>
    <w:rsid w:val="00A86477"/>
    <w:rsid w:val="00A86B1C"/>
    <w:rsid w:val="00A86CD4"/>
    <w:rsid w:val="00A95921"/>
    <w:rsid w:val="00AA3CA8"/>
    <w:rsid w:val="00AA5E14"/>
    <w:rsid w:val="00AB14D7"/>
    <w:rsid w:val="00AB51DF"/>
    <w:rsid w:val="00AC30B2"/>
    <w:rsid w:val="00AC45CF"/>
    <w:rsid w:val="00AC51A5"/>
    <w:rsid w:val="00AD146E"/>
    <w:rsid w:val="00AD3980"/>
    <w:rsid w:val="00AD5297"/>
    <w:rsid w:val="00AE0399"/>
    <w:rsid w:val="00AF4EC5"/>
    <w:rsid w:val="00AF6530"/>
    <w:rsid w:val="00AF65FE"/>
    <w:rsid w:val="00B11E48"/>
    <w:rsid w:val="00B2679F"/>
    <w:rsid w:val="00B30A0A"/>
    <w:rsid w:val="00B44201"/>
    <w:rsid w:val="00B456C6"/>
    <w:rsid w:val="00B51813"/>
    <w:rsid w:val="00B551F9"/>
    <w:rsid w:val="00B56F46"/>
    <w:rsid w:val="00B57F51"/>
    <w:rsid w:val="00B65C92"/>
    <w:rsid w:val="00B66D2C"/>
    <w:rsid w:val="00B67E21"/>
    <w:rsid w:val="00B71677"/>
    <w:rsid w:val="00B771FB"/>
    <w:rsid w:val="00B80109"/>
    <w:rsid w:val="00B86FE5"/>
    <w:rsid w:val="00B87885"/>
    <w:rsid w:val="00B91BC6"/>
    <w:rsid w:val="00B94A45"/>
    <w:rsid w:val="00B95AD1"/>
    <w:rsid w:val="00BA276E"/>
    <w:rsid w:val="00BA39FA"/>
    <w:rsid w:val="00BA55EE"/>
    <w:rsid w:val="00BA5669"/>
    <w:rsid w:val="00BB15CD"/>
    <w:rsid w:val="00BB5566"/>
    <w:rsid w:val="00BC3927"/>
    <w:rsid w:val="00BE146B"/>
    <w:rsid w:val="00BE16EA"/>
    <w:rsid w:val="00BE19E2"/>
    <w:rsid w:val="00BF0BDD"/>
    <w:rsid w:val="00BF326E"/>
    <w:rsid w:val="00BF4892"/>
    <w:rsid w:val="00BF4E09"/>
    <w:rsid w:val="00C044B8"/>
    <w:rsid w:val="00C06131"/>
    <w:rsid w:val="00C07A1B"/>
    <w:rsid w:val="00C12577"/>
    <w:rsid w:val="00C13ED0"/>
    <w:rsid w:val="00C175FB"/>
    <w:rsid w:val="00C222D8"/>
    <w:rsid w:val="00C26CC5"/>
    <w:rsid w:val="00C309AA"/>
    <w:rsid w:val="00C40F3A"/>
    <w:rsid w:val="00C43297"/>
    <w:rsid w:val="00C50B1D"/>
    <w:rsid w:val="00C52ECA"/>
    <w:rsid w:val="00C62D26"/>
    <w:rsid w:val="00C64FB2"/>
    <w:rsid w:val="00C73800"/>
    <w:rsid w:val="00C73FAA"/>
    <w:rsid w:val="00C74417"/>
    <w:rsid w:val="00C801F8"/>
    <w:rsid w:val="00C82732"/>
    <w:rsid w:val="00C830D2"/>
    <w:rsid w:val="00C90A18"/>
    <w:rsid w:val="00C914C7"/>
    <w:rsid w:val="00CA56EE"/>
    <w:rsid w:val="00CB3193"/>
    <w:rsid w:val="00CB4E4E"/>
    <w:rsid w:val="00CC3001"/>
    <w:rsid w:val="00CC6D1D"/>
    <w:rsid w:val="00CD05BE"/>
    <w:rsid w:val="00CD49E6"/>
    <w:rsid w:val="00CE36CE"/>
    <w:rsid w:val="00CF2633"/>
    <w:rsid w:val="00D029AC"/>
    <w:rsid w:val="00D16366"/>
    <w:rsid w:val="00D1678E"/>
    <w:rsid w:val="00D17588"/>
    <w:rsid w:val="00D200D4"/>
    <w:rsid w:val="00D22AB4"/>
    <w:rsid w:val="00D272F2"/>
    <w:rsid w:val="00D41B32"/>
    <w:rsid w:val="00D4469D"/>
    <w:rsid w:val="00D50199"/>
    <w:rsid w:val="00D54116"/>
    <w:rsid w:val="00D544AB"/>
    <w:rsid w:val="00D57426"/>
    <w:rsid w:val="00D66B11"/>
    <w:rsid w:val="00D66C89"/>
    <w:rsid w:val="00D7071D"/>
    <w:rsid w:val="00D913F8"/>
    <w:rsid w:val="00D96D8E"/>
    <w:rsid w:val="00DA368E"/>
    <w:rsid w:val="00DA7F64"/>
    <w:rsid w:val="00DB4553"/>
    <w:rsid w:val="00DC580A"/>
    <w:rsid w:val="00DD0805"/>
    <w:rsid w:val="00DD4BC1"/>
    <w:rsid w:val="00DD5D5E"/>
    <w:rsid w:val="00DE075B"/>
    <w:rsid w:val="00DE205D"/>
    <w:rsid w:val="00DF3147"/>
    <w:rsid w:val="00E03C54"/>
    <w:rsid w:val="00E06266"/>
    <w:rsid w:val="00E15498"/>
    <w:rsid w:val="00E1596A"/>
    <w:rsid w:val="00E21CE1"/>
    <w:rsid w:val="00E30484"/>
    <w:rsid w:val="00E34F82"/>
    <w:rsid w:val="00E408E2"/>
    <w:rsid w:val="00E5020F"/>
    <w:rsid w:val="00E5531B"/>
    <w:rsid w:val="00E616BA"/>
    <w:rsid w:val="00E65AD7"/>
    <w:rsid w:val="00E70AF6"/>
    <w:rsid w:val="00E826D8"/>
    <w:rsid w:val="00E82E97"/>
    <w:rsid w:val="00E97B22"/>
    <w:rsid w:val="00EA008C"/>
    <w:rsid w:val="00EA3653"/>
    <w:rsid w:val="00EB10E7"/>
    <w:rsid w:val="00EB35C8"/>
    <w:rsid w:val="00EB373B"/>
    <w:rsid w:val="00EB63BA"/>
    <w:rsid w:val="00EC0A88"/>
    <w:rsid w:val="00EC6249"/>
    <w:rsid w:val="00EC656D"/>
    <w:rsid w:val="00ED0A92"/>
    <w:rsid w:val="00ED4E21"/>
    <w:rsid w:val="00ED7326"/>
    <w:rsid w:val="00EE4245"/>
    <w:rsid w:val="00EE63D2"/>
    <w:rsid w:val="00EE65A8"/>
    <w:rsid w:val="00EE6E1E"/>
    <w:rsid w:val="00EE6FAF"/>
    <w:rsid w:val="00EF4DA1"/>
    <w:rsid w:val="00F0135A"/>
    <w:rsid w:val="00F02666"/>
    <w:rsid w:val="00F06D2E"/>
    <w:rsid w:val="00F07228"/>
    <w:rsid w:val="00F22009"/>
    <w:rsid w:val="00F25FC3"/>
    <w:rsid w:val="00F26270"/>
    <w:rsid w:val="00F31717"/>
    <w:rsid w:val="00F43AB1"/>
    <w:rsid w:val="00F505AA"/>
    <w:rsid w:val="00F51082"/>
    <w:rsid w:val="00F57AA7"/>
    <w:rsid w:val="00F63D53"/>
    <w:rsid w:val="00F64A96"/>
    <w:rsid w:val="00F7412C"/>
    <w:rsid w:val="00F80A7B"/>
    <w:rsid w:val="00F8220F"/>
    <w:rsid w:val="00F96EFC"/>
    <w:rsid w:val="00F978CC"/>
    <w:rsid w:val="00FA56D1"/>
    <w:rsid w:val="00FA7A1E"/>
    <w:rsid w:val="00FB572E"/>
    <w:rsid w:val="00FC0220"/>
    <w:rsid w:val="00FC5B1C"/>
    <w:rsid w:val="00FC682A"/>
    <w:rsid w:val="00FC7762"/>
    <w:rsid w:val="00FD6B52"/>
    <w:rsid w:val="00FD7B5D"/>
    <w:rsid w:val="00FE14EF"/>
    <w:rsid w:val="00FE2BC0"/>
    <w:rsid w:val="00FE3A67"/>
    <w:rsid w:val="00FE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Elbow Connector 7"/>
      </o:rules>
    </o:shapelayout>
  </w:shapeDefaults>
  <w:decimalSymbol w:val="."/>
  <w:listSeparator w:val=","/>
  <w15:docId w15:val="{CA8F353D-87A7-4A16-8551-3D61A38F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1B"/>
    <w:rPr>
      <w:rFonts w:eastAsiaTheme="minorEastAsia"/>
    </w:rPr>
  </w:style>
  <w:style w:type="paragraph" w:styleId="Heading1">
    <w:name w:val="heading 1"/>
    <w:basedOn w:val="Normal"/>
    <w:next w:val="Normal"/>
    <w:link w:val="Heading1Char"/>
    <w:uiPriority w:val="9"/>
    <w:qFormat/>
    <w:rsid w:val="00F57AA7"/>
    <w:pPr>
      <w:keepNext/>
      <w:keepLines/>
      <w:spacing w:before="400" w:after="40" w:line="240" w:lineRule="auto"/>
      <w:outlineLvl w:val="0"/>
    </w:pPr>
    <w:rPr>
      <w:rFonts w:asciiTheme="majorHAnsi" w:eastAsiaTheme="majorEastAsia" w:hAnsiTheme="majorHAnsi" w:cstheme="majorBidi"/>
      <w:color w:val="4E67C8"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42"/>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F57AA7"/>
    <w:rPr>
      <w:rFonts w:asciiTheme="majorHAnsi" w:eastAsiaTheme="majorEastAsia" w:hAnsiTheme="majorHAnsi" w:cstheme="majorBidi"/>
      <w:color w:val="4E67C8" w:themeColor="accent1"/>
      <w:sz w:val="28"/>
      <w:szCs w:val="28"/>
      <w:lang w:eastAsia="ja-JP"/>
    </w:rPr>
  </w:style>
  <w:style w:type="paragraph" w:styleId="NoSpacing">
    <w:name w:val="No Spacing"/>
    <w:link w:val="NoSpacingChar"/>
    <w:uiPriority w:val="1"/>
    <w:qFormat/>
    <w:rsid w:val="00F57AA7"/>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F57AA7"/>
    <w:rPr>
      <w:rFonts w:eastAsiaTheme="minorEastAsia"/>
      <w:sz w:val="17"/>
      <w:szCs w:val="17"/>
      <w:lang w:eastAsia="ja-JP"/>
    </w:rPr>
  </w:style>
  <w:style w:type="paragraph" w:styleId="Title">
    <w:name w:val="Title"/>
    <w:basedOn w:val="Normal"/>
    <w:next w:val="Normal"/>
    <w:link w:val="TitleChar"/>
    <w:uiPriority w:val="10"/>
    <w:qFormat/>
    <w:rsid w:val="00F57AA7"/>
    <w:pPr>
      <w:spacing w:after="0" w:line="240" w:lineRule="auto"/>
      <w:contextualSpacing/>
    </w:pPr>
    <w:rPr>
      <w:rFonts w:asciiTheme="majorHAnsi" w:eastAsiaTheme="majorEastAsia" w:hAnsiTheme="majorHAnsi" w:cstheme="majorBidi"/>
      <w:color w:val="4E67C8" w:themeColor="accent1"/>
      <w:kern w:val="28"/>
      <w:sz w:val="72"/>
      <w:szCs w:val="72"/>
      <w:lang w:eastAsia="ja-JP"/>
    </w:rPr>
  </w:style>
  <w:style w:type="character" w:customStyle="1" w:styleId="TitleChar">
    <w:name w:val="Title Char"/>
    <w:basedOn w:val="DefaultParagraphFont"/>
    <w:link w:val="Title"/>
    <w:uiPriority w:val="10"/>
    <w:rsid w:val="00F57AA7"/>
    <w:rPr>
      <w:rFonts w:asciiTheme="majorHAnsi" w:eastAsiaTheme="majorEastAsia" w:hAnsiTheme="majorHAnsi" w:cstheme="majorBidi"/>
      <w:color w:val="4E67C8" w:themeColor="accent1"/>
      <w:kern w:val="28"/>
      <w:sz w:val="72"/>
      <w:szCs w:val="72"/>
      <w:lang w:eastAsia="ja-JP"/>
    </w:rPr>
  </w:style>
  <w:style w:type="table" w:styleId="TableGrid">
    <w:name w:val="Table Grid"/>
    <w:basedOn w:val="TableNormal"/>
    <w:uiPriority w:val="39"/>
    <w:rsid w:val="008D36C4"/>
    <w:pPr>
      <w:spacing w:after="0" w:line="240" w:lineRule="auto"/>
    </w:pPr>
    <w:rPr>
      <w:rFonts w:eastAsiaTheme="minorEastAsia"/>
      <w:sz w:val="17"/>
      <w:szCs w:val="17"/>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9200BD"/>
    <w:rPr>
      <w:color w:val="5967AF" w:themeColor="text2" w:themeTint="99"/>
      <w:u w:val="single"/>
    </w:rPr>
  </w:style>
  <w:style w:type="paragraph" w:styleId="Header">
    <w:name w:val="header"/>
    <w:basedOn w:val="Normal"/>
    <w:link w:val="HeaderChar"/>
    <w:uiPriority w:val="99"/>
    <w:unhideWhenUsed/>
    <w:rsid w:val="0077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AD"/>
    <w:rPr>
      <w:rFonts w:eastAsiaTheme="minorEastAsia"/>
    </w:rPr>
  </w:style>
  <w:style w:type="paragraph" w:styleId="Footer">
    <w:name w:val="footer"/>
    <w:basedOn w:val="Normal"/>
    <w:link w:val="FooterChar"/>
    <w:uiPriority w:val="99"/>
    <w:unhideWhenUsed/>
    <w:rsid w:val="0077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archive.diabetesnm.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dc.gov/diabetes/pubs/statsreport14/national-diabetes-report-web.pdf"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nmhealth.org/about/phd/cdb/dpc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dc.gov/diabetes/data/statistics/2014StatisticsReport.html" TargetMode="External"/><Relationship Id="rId20" Type="http://schemas.openxmlformats.org/officeDocument/2006/relationships/hyperlink" Target="http://ibis.health.state.nm.us/indicator/complete_profile/DiabPrev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christopher.lucero@state.nm.us" TargetMode="External"/><Relationship Id="rId5" Type="http://schemas.openxmlformats.org/officeDocument/2006/relationships/footnotes" Target="footnotes.xml"/><Relationship Id="rId15" Type="http://schemas.openxmlformats.org/officeDocument/2006/relationships/hyperlink" Target="http://www.cdc.gov/diabetes/prevention" TargetMode="External"/><Relationship Id="rId23" Type="http://schemas.openxmlformats.org/officeDocument/2006/relationships/hyperlink" Target="mailto:corazon.halasan@state.nm.u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thecommunityguide.org/diabetes/index.html" TargetMode="External"/><Relationship Id="rId4" Type="http://schemas.openxmlformats.org/officeDocument/2006/relationships/webSettings" Target="webSettings.xml"/><Relationship Id="rId9" Type="http://schemas.openxmlformats.org/officeDocument/2006/relationships/hyperlink" Target="http://www.cdc.gov/diabetes/prevention" TargetMode="External"/><Relationship Id="rId14" Type="http://schemas.openxmlformats.org/officeDocument/2006/relationships/image" Target="media/image7.png"/><Relationship Id="rId22" Type="http://schemas.openxmlformats.org/officeDocument/2006/relationships/hyperlink" Target="mailto:judith.gabriele@state.nm.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Corazon Halasan</dc:creator>
  <cp:lastModifiedBy>Judith Gabriele</cp:lastModifiedBy>
  <cp:revision>2</cp:revision>
  <cp:lastPrinted>2015-06-10T22:51:00Z</cp:lastPrinted>
  <dcterms:created xsi:type="dcterms:W3CDTF">2015-06-11T22:39:00Z</dcterms:created>
  <dcterms:modified xsi:type="dcterms:W3CDTF">2015-06-11T22:39:00Z</dcterms:modified>
</cp:coreProperties>
</file>